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06" w:rsidRPr="00C53116" w:rsidRDefault="00916E06" w:rsidP="00916E06">
      <w:pPr>
        <w:pStyle w:val="Heading2"/>
        <w:rPr>
          <w:rFonts w:ascii="Arial Narrow" w:hAnsi="Arial Narrow"/>
          <w:i w:val="0"/>
          <w:sz w:val="40"/>
        </w:rPr>
      </w:pPr>
      <w:r w:rsidRPr="00C53116">
        <w:rPr>
          <w:rFonts w:ascii="Arial Narrow" w:hAnsi="Arial Narrow"/>
          <w:i w:val="0"/>
          <w:sz w:val="40"/>
        </w:rPr>
        <w:t xml:space="preserve">Community event </w:t>
      </w:r>
      <w:r>
        <w:rPr>
          <w:rFonts w:ascii="Arial Narrow" w:hAnsi="Arial Narrow"/>
          <w:i w:val="0"/>
          <w:sz w:val="40"/>
        </w:rPr>
        <w:t xml:space="preserve">synthesis form – </w:t>
      </w:r>
      <w:r w:rsidR="00172AAD">
        <w:rPr>
          <w:rFonts w:ascii="Arial Narrow" w:hAnsi="Arial Narrow"/>
          <w:i w:val="0"/>
          <w:sz w:val="40"/>
        </w:rPr>
        <w:t>Multiple events</w:t>
      </w:r>
      <w:r>
        <w:rPr>
          <w:rFonts w:ascii="Arial Narrow" w:hAnsi="Arial Narrow"/>
          <w:i w:val="0"/>
          <w:sz w:val="40"/>
        </w:rPr>
        <w:t xml:space="preserve"> </w:t>
      </w:r>
    </w:p>
    <w:p w:rsidR="00916E06" w:rsidRDefault="00172AAD" w:rsidP="00916E06">
      <w:pPr>
        <w:spacing w:after="0" w:line="360" w:lineRule="auto"/>
      </w:pPr>
      <w:r>
        <w:t>Number of events included in synthesis</w:t>
      </w:r>
      <w:r w:rsidR="00916E06">
        <w:t xml:space="preserve">: </w:t>
      </w:r>
      <w:bookmarkStart w:id="0" w:name="Text1"/>
      <w:r w:rsidR="008A4415">
        <w:fldChar w:fldCharType="begin">
          <w:ffData>
            <w:name w:val="Text1"/>
            <w:enabled/>
            <w:calcOnExit w:val="0"/>
            <w:textInput/>
          </w:ffData>
        </w:fldChar>
      </w:r>
      <w:r w:rsidR="008A4415">
        <w:instrText xml:space="preserve"> FORMTEXT </w:instrText>
      </w:r>
      <w:r w:rsidR="008A4415">
        <w:fldChar w:fldCharType="separate"/>
      </w:r>
      <w:r w:rsidR="008A4415">
        <w:rPr>
          <w:noProof/>
        </w:rPr>
        <w:t> </w:t>
      </w:r>
      <w:r w:rsidR="008A4415">
        <w:rPr>
          <w:noProof/>
        </w:rPr>
        <w:t> </w:t>
      </w:r>
      <w:r w:rsidR="008A4415">
        <w:rPr>
          <w:noProof/>
        </w:rPr>
        <w:t> </w:t>
      </w:r>
      <w:r w:rsidR="008A4415">
        <w:rPr>
          <w:noProof/>
        </w:rPr>
        <w:t> </w:t>
      </w:r>
      <w:r w:rsidR="008A4415">
        <w:rPr>
          <w:noProof/>
        </w:rPr>
        <w:t> </w:t>
      </w:r>
      <w:r w:rsidR="008A4415">
        <w:fldChar w:fldCharType="end"/>
      </w:r>
      <w:bookmarkEnd w:id="0"/>
      <w:r w:rsidR="004A6F73">
        <w:tab/>
      </w:r>
      <w:r w:rsidR="004A6F73">
        <w:tab/>
      </w:r>
      <w:r w:rsidR="008A4415">
        <w:tab/>
      </w:r>
      <w:r w:rsidR="004A6F73">
        <w:t xml:space="preserve">Number of scans completed at events: </w:t>
      </w:r>
      <w:bookmarkStart w:id="1" w:name="Text2"/>
      <w:r w:rsidR="008A4415">
        <w:fldChar w:fldCharType="begin">
          <w:ffData>
            <w:name w:val="Text2"/>
            <w:enabled/>
            <w:calcOnExit w:val="0"/>
            <w:textInput/>
          </w:ffData>
        </w:fldChar>
      </w:r>
      <w:r w:rsidR="008A4415">
        <w:instrText xml:space="preserve"> FORMTEXT </w:instrText>
      </w:r>
      <w:r w:rsidR="008A4415">
        <w:fldChar w:fldCharType="separate"/>
      </w:r>
      <w:r w:rsidR="008A4415">
        <w:rPr>
          <w:noProof/>
        </w:rPr>
        <w:t> </w:t>
      </w:r>
      <w:r w:rsidR="008A4415">
        <w:rPr>
          <w:noProof/>
        </w:rPr>
        <w:t> </w:t>
      </w:r>
      <w:r w:rsidR="008A4415">
        <w:rPr>
          <w:noProof/>
        </w:rPr>
        <w:t> </w:t>
      </w:r>
      <w:r w:rsidR="008A4415">
        <w:rPr>
          <w:noProof/>
        </w:rPr>
        <w:t> </w:t>
      </w:r>
      <w:r w:rsidR="008A4415">
        <w:rPr>
          <w:noProof/>
        </w:rPr>
        <w:t> </w:t>
      </w:r>
      <w:r w:rsidR="008A4415">
        <w:fldChar w:fldCharType="end"/>
      </w:r>
      <w:bookmarkEnd w:id="1"/>
    </w:p>
    <w:p w:rsidR="004A6F73" w:rsidRDefault="00172AAD" w:rsidP="00916E06">
      <w:pPr>
        <w:spacing w:after="0" w:line="360" w:lineRule="auto"/>
      </w:pPr>
      <w:r>
        <w:t xml:space="preserve">Date range of events: </w:t>
      </w:r>
      <w:bookmarkStart w:id="2" w:name="Text3"/>
      <w:r w:rsidR="008A4415">
        <w:fldChar w:fldCharType="begin">
          <w:ffData>
            <w:name w:val="Text3"/>
            <w:enabled/>
            <w:calcOnExit w:val="0"/>
            <w:textInput/>
          </w:ffData>
        </w:fldChar>
      </w:r>
      <w:r w:rsidR="008A4415">
        <w:instrText xml:space="preserve"> FORMTEXT </w:instrText>
      </w:r>
      <w:r w:rsidR="008A4415">
        <w:fldChar w:fldCharType="separate"/>
      </w:r>
      <w:r w:rsidR="008A4415">
        <w:rPr>
          <w:noProof/>
        </w:rPr>
        <w:t> </w:t>
      </w:r>
      <w:r w:rsidR="008A4415">
        <w:rPr>
          <w:noProof/>
        </w:rPr>
        <w:t> </w:t>
      </w:r>
      <w:r w:rsidR="008A4415">
        <w:rPr>
          <w:noProof/>
        </w:rPr>
        <w:t> </w:t>
      </w:r>
      <w:r w:rsidR="008A4415">
        <w:rPr>
          <w:noProof/>
        </w:rPr>
        <w:t> </w:t>
      </w:r>
      <w:r w:rsidR="008A4415">
        <w:rPr>
          <w:noProof/>
        </w:rPr>
        <w:t> </w:t>
      </w:r>
      <w:r w:rsidR="008A4415">
        <w:fldChar w:fldCharType="end"/>
      </w:r>
      <w:bookmarkEnd w:id="2"/>
      <w:r w:rsidR="004A6F73">
        <w:tab/>
      </w:r>
      <w:r w:rsidR="004A6F73">
        <w:tab/>
      </w:r>
    </w:p>
    <w:p w:rsidR="00172AAD" w:rsidRDefault="00172AAD" w:rsidP="00916E06">
      <w:pPr>
        <w:spacing w:after="0" w:line="360" w:lineRule="auto"/>
      </w:pPr>
      <w:r>
        <w:t xml:space="preserve">Number of events in which observers estimated over half of the attendees </w:t>
      </w:r>
      <w:proofErr w:type="gramStart"/>
      <w:r>
        <w:t>were</w:t>
      </w:r>
      <w:proofErr w:type="gramEnd"/>
      <w:r>
        <w:t xml:space="preserve"> under 21: </w:t>
      </w:r>
      <w:bookmarkStart w:id="3" w:name="Text4"/>
      <w:r w:rsidR="008A4415">
        <w:fldChar w:fldCharType="begin">
          <w:ffData>
            <w:name w:val="Text4"/>
            <w:enabled/>
            <w:calcOnExit w:val="0"/>
            <w:textInput/>
          </w:ffData>
        </w:fldChar>
      </w:r>
      <w:r w:rsidR="008A4415">
        <w:instrText xml:space="preserve"> FORMTEXT </w:instrText>
      </w:r>
      <w:r w:rsidR="008A4415">
        <w:fldChar w:fldCharType="separate"/>
      </w:r>
      <w:r w:rsidR="008A4415">
        <w:rPr>
          <w:noProof/>
        </w:rPr>
        <w:t> </w:t>
      </w:r>
      <w:r w:rsidR="008A4415">
        <w:rPr>
          <w:noProof/>
        </w:rPr>
        <w:t> </w:t>
      </w:r>
      <w:r w:rsidR="008A4415">
        <w:rPr>
          <w:noProof/>
        </w:rPr>
        <w:t> </w:t>
      </w:r>
      <w:r w:rsidR="008A4415">
        <w:rPr>
          <w:noProof/>
        </w:rPr>
        <w:t> </w:t>
      </w:r>
      <w:r w:rsidR="008A4415">
        <w:rPr>
          <w:noProof/>
        </w:rPr>
        <w:t> </w:t>
      </w:r>
      <w:r w:rsidR="008A4415">
        <w:fldChar w:fldCharType="end"/>
      </w:r>
      <w:bookmarkEnd w:id="3"/>
    </w:p>
    <w:p w:rsidR="00916E06" w:rsidRDefault="00916E06" w:rsidP="00916E06">
      <w:pPr>
        <w:pStyle w:val="Heading2"/>
      </w:pPr>
      <w:r>
        <w:t>Community event best practices</w:t>
      </w:r>
    </w:p>
    <w:p w:rsidR="00916E06" w:rsidRDefault="00916E06" w:rsidP="00916E06">
      <w:pPr>
        <w:spacing w:after="0" w:line="240" w:lineRule="auto"/>
      </w:pPr>
      <w:r>
        <w:t xml:space="preserve">Below are evidence-based best practices to restrict alcohol sales to underage youth and young adults, as well as intoxicated adults.  This form includes those practices that are observable, as well as information about how these practices were observed at the </w:t>
      </w:r>
      <w:r w:rsidR="00172AAD">
        <w:t>events during the date range above</w:t>
      </w:r>
      <w:r>
        <w:t xml:space="preserve">.  For more information about these best practices, please see </w:t>
      </w:r>
      <w:hyperlink r:id="rId8" w:history="1">
        <w:r w:rsidRPr="007E5DBD">
          <w:rPr>
            <w:rStyle w:val="Hyperlink"/>
          </w:rPr>
          <w:t>http://www.epi.umn.edu/alcohol/festivals/index.shtm</w:t>
        </w:r>
      </w:hyperlink>
      <w:r>
        <w:t xml:space="preserve"> </w:t>
      </w:r>
    </w:p>
    <w:p w:rsidR="00172AAD" w:rsidRDefault="00172AAD" w:rsidP="00916E06">
      <w:pPr>
        <w:spacing w:after="0" w:line="240" w:lineRule="auto"/>
      </w:pPr>
    </w:p>
    <w:p w:rsidR="004A6F73" w:rsidRPr="004A6F73" w:rsidRDefault="00172AAD" w:rsidP="00916E06">
      <w:pPr>
        <w:spacing w:after="0" w:line="240" w:lineRule="auto"/>
      </w:pPr>
      <w:r w:rsidRPr="004A6F73">
        <w:t xml:space="preserve">In the form below, please enter the </w:t>
      </w:r>
      <w:r w:rsidRPr="004A6F73">
        <w:rPr>
          <w:u w:val="single"/>
        </w:rPr>
        <w:t xml:space="preserve">number of </w:t>
      </w:r>
      <w:r w:rsidR="00CF03BF" w:rsidRPr="004A6F73">
        <w:rPr>
          <w:u w:val="single"/>
        </w:rPr>
        <w:t>events</w:t>
      </w:r>
      <w:r w:rsidRPr="004A6F73">
        <w:t xml:space="preserve"> </w:t>
      </w:r>
      <w:r w:rsidR="00CF03BF" w:rsidRPr="004A6F73">
        <w:t>that have implemented each best practice “</w:t>
      </w:r>
      <w:r w:rsidR="00993197">
        <w:t>all of the time</w:t>
      </w:r>
      <w:r w:rsidR="00CF03BF" w:rsidRPr="004A6F73">
        <w:t>,” “</w:t>
      </w:r>
      <w:r w:rsidR="00993197">
        <w:t>some of the time</w:t>
      </w:r>
      <w:r w:rsidR="00CF03BF" w:rsidRPr="004A6F73">
        <w:t>,”</w:t>
      </w:r>
      <w:r w:rsidRPr="004A6F73">
        <w:t xml:space="preserve"> </w:t>
      </w:r>
      <w:r w:rsidR="00CF03BF" w:rsidRPr="004A6F73">
        <w:t>or “not at all.”</w:t>
      </w:r>
      <w:r w:rsidRPr="004A6F73">
        <w:t xml:space="preserve"> </w:t>
      </w:r>
      <w:r w:rsidR="00CF03BF" w:rsidRPr="004A6F73">
        <w:t>These ratings should be based on all of th</w:t>
      </w:r>
      <w:r w:rsidR="004A6F73" w:rsidRPr="004A6F73">
        <w:t xml:space="preserve">e observations for each event.  If a particular event has different ratings for the same questions, consider all of the ratings in determining which category that event falls into for that best practice.  </w:t>
      </w:r>
      <w:r w:rsidR="004A6F73">
        <w:t xml:space="preserve">Then, from the Single Event synthesis forms and the observation forms, please note the common strengths and common recommendations for improvement that emerged across events.  </w:t>
      </w:r>
    </w:p>
    <w:p w:rsidR="00CF03BF" w:rsidRPr="00916E06" w:rsidRDefault="00CF03BF" w:rsidP="00CF03BF">
      <w:pPr>
        <w:pStyle w:val="Heading3"/>
      </w:pPr>
      <w:r>
        <w:t>Creating a safe environment</w:t>
      </w:r>
    </w:p>
    <w:tbl>
      <w:tblPr>
        <w:tblStyle w:val="TableStyle"/>
        <w:tblW w:w="14498" w:type="dxa"/>
        <w:tblInd w:w="-695" w:type="dxa"/>
        <w:tblLayout w:type="fixed"/>
        <w:tblLook w:val="04A0" w:firstRow="1" w:lastRow="0" w:firstColumn="1" w:lastColumn="0" w:noHBand="0" w:noVBand="1"/>
      </w:tblPr>
      <w:tblGrid>
        <w:gridCol w:w="1620"/>
        <w:gridCol w:w="2070"/>
        <w:gridCol w:w="3043"/>
        <w:gridCol w:w="3882"/>
        <w:gridCol w:w="3883"/>
      </w:tblGrid>
      <w:tr w:rsidR="00993197" w:rsidRPr="000D7AF4" w:rsidTr="00A659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gridSpan w:val="2"/>
          </w:tcPr>
          <w:p w:rsidR="00993197" w:rsidRDefault="00993197" w:rsidP="00A659B7">
            <w:pPr>
              <w:autoSpaceDE w:val="0"/>
              <w:autoSpaceDN w:val="0"/>
              <w:adjustRightInd w:val="0"/>
              <w:spacing w:after="0" w:line="240" w:lineRule="auto"/>
              <w:jc w:val="center"/>
              <w:rPr>
                <w:rFonts w:cs="GillSansMT,BoldItalic"/>
                <w:bCs/>
                <w:iCs/>
                <w:color w:val="000000"/>
              </w:rPr>
            </w:pPr>
            <w:r w:rsidRPr="002D2C23">
              <w:rPr>
                <w:rFonts w:cs="GillSansMT,BoldItalic"/>
                <w:bCs/>
                <w:iCs/>
                <w:color w:val="000000"/>
              </w:rPr>
              <w:t>Best practice</w:t>
            </w:r>
          </w:p>
        </w:tc>
        <w:tc>
          <w:tcPr>
            <w:tcW w:w="3043" w:type="dxa"/>
            <w:vAlign w:val="center"/>
          </w:tcPr>
          <w:p w:rsidR="00993197" w:rsidRPr="002D2C23" w:rsidRDefault="00993197" w:rsidP="00A659B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Number of events that implemented best practice…</w:t>
            </w:r>
          </w:p>
        </w:tc>
        <w:tc>
          <w:tcPr>
            <w:tcW w:w="3882" w:type="dxa"/>
          </w:tcPr>
          <w:p w:rsidR="00993197" w:rsidRPr="002D2C23" w:rsidRDefault="00993197" w:rsidP="00A659B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Common strengths</w:t>
            </w:r>
          </w:p>
        </w:tc>
        <w:tc>
          <w:tcPr>
            <w:tcW w:w="3883" w:type="dxa"/>
          </w:tcPr>
          <w:p w:rsidR="00993197" w:rsidRPr="002D2C23" w:rsidRDefault="00993197" w:rsidP="00A659B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Common r</w:t>
            </w:r>
            <w:r w:rsidRPr="002D2C23">
              <w:rPr>
                <w:rFonts w:cs="GillSansMT,BoldItalic"/>
                <w:bCs/>
                <w:iCs/>
                <w:color w:val="000000"/>
              </w:rPr>
              <w:t>ecommendations for improvement</w:t>
            </w:r>
          </w:p>
        </w:tc>
      </w:tr>
      <w:tr w:rsidR="00993197" w:rsidRPr="000D7AF4" w:rsidTr="008A4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993197" w:rsidRDefault="00993197" w:rsidP="008A4415">
            <w:pPr>
              <w:autoSpaceDE w:val="0"/>
              <w:autoSpaceDN w:val="0"/>
              <w:adjustRightInd w:val="0"/>
              <w:spacing w:after="0" w:line="240" w:lineRule="auto"/>
              <w:rPr>
                <w:rFonts w:cs="GillSansMT"/>
                <w:color w:val="000000"/>
              </w:rPr>
            </w:pPr>
            <w:r w:rsidRPr="000D7AF4">
              <w:rPr>
                <w:rFonts w:cs="GillSansMT,BoldItalic"/>
                <w:b/>
                <w:bCs/>
                <w:iCs/>
                <w:color w:val="000000"/>
              </w:rPr>
              <w:t>Restrict</w:t>
            </w:r>
            <w:r>
              <w:rPr>
                <w:rFonts w:cs="GillSansMT,BoldItalic"/>
                <w:b/>
                <w:bCs/>
                <w:iCs/>
                <w:color w:val="000000"/>
              </w:rPr>
              <w:t>ing the a</w:t>
            </w:r>
            <w:r w:rsidRPr="000D7AF4">
              <w:rPr>
                <w:rFonts w:cs="GillSansMT,BoldItalic"/>
                <w:b/>
                <w:bCs/>
                <w:iCs/>
                <w:color w:val="000000"/>
              </w:rPr>
              <w:t xml:space="preserve">ge of </w:t>
            </w:r>
            <w:r>
              <w:rPr>
                <w:rFonts w:cs="GillSansMT,BoldItalic"/>
                <w:b/>
                <w:bCs/>
                <w:iCs/>
                <w:color w:val="000000"/>
              </w:rPr>
              <w:t>s</w:t>
            </w:r>
            <w:r w:rsidRPr="000D7AF4">
              <w:rPr>
                <w:rFonts w:cs="GillSansMT,BoldItalic"/>
                <w:b/>
                <w:bCs/>
                <w:iCs/>
                <w:color w:val="000000"/>
              </w:rPr>
              <w:t>ervers</w:t>
            </w:r>
            <w:r w:rsidRPr="000D7AF4">
              <w:rPr>
                <w:rFonts w:cs="GillSansMT"/>
                <w:color w:val="000000"/>
              </w:rPr>
              <w:t xml:space="preserve"> </w:t>
            </w:r>
          </w:p>
          <w:p w:rsidR="00993197" w:rsidRPr="000D7AF4" w:rsidRDefault="00993197" w:rsidP="008A4415">
            <w:pPr>
              <w:autoSpaceDE w:val="0"/>
              <w:autoSpaceDN w:val="0"/>
              <w:adjustRightInd w:val="0"/>
              <w:spacing w:after="0" w:line="240" w:lineRule="auto"/>
              <w:rPr>
                <w:rFonts w:cs="GillSansMT,BoldItalic"/>
                <w:b/>
                <w:bCs/>
                <w:iCs/>
                <w:color w:val="000000"/>
              </w:rPr>
            </w:pPr>
          </w:p>
        </w:tc>
        <w:tc>
          <w:tcPr>
            <w:tcW w:w="2070" w:type="dxa"/>
          </w:tcPr>
          <w:p w:rsidR="00993197" w:rsidRPr="00DF20DD" w:rsidRDefault="00DF20DD" w:rsidP="008A441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GillSansMT"/>
                <w:sz w:val="22"/>
                <w:szCs w:val="22"/>
              </w:rPr>
              <w:t>A</w:t>
            </w:r>
            <w:r w:rsidR="00993197" w:rsidRPr="00DF20DD">
              <w:rPr>
                <w:rFonts w:asciiTheme="minorHAnsi" w:hAnsiTheme="minorHAnsi" w:cs="GillSansMT"/>
                <w:sz w:val="22"/>
                <w:szCs w:val="22"/>
              </w:rPr>
              <w:t xml:space="preserve">lcohol servers </w:t>
            </w:r>
            <w:r>
              <w:rPr>
                <w:rFonts w:asciiTheme="minorHAnsi" w:hAnsiTheme="minorHAnsi" w:cs="GillSansMT"/>
                <w:sz w:val="22"/>
                <w:szCs w:val="22"/>
              </w:rPr>
              <w:t xml:space="preserve">appear to be age 21 and over. </w:t>
            </w:r>
          </w:p>
        </w:tc>
        <w:bookmarkStart w:id="4" w:name="Text5"/>
        <w:tc>
          <w:tcPr>
            <w:tcW w:w="3043" w:type="dxa"/>
            <w:vAlign w:val="center"/>
          </w:tcPr>
          <w:p w:rsidR="00993197"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5" w:name="_GoBack"/>
            <w:bookmarkEnd w:id="5"/>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
            <w:r>
              <w:rPr>
                <w:rFonts w:ascii="Calibri" w:hAnsi="Calibri"/>
                <w:sz w:val="22"/>
                <w:szCs w:val="22"/>
              </w:rPr>
              <w:t xml:space="preserve"> </w:t>
            </w:r>
            <w:r w:rsidR="00993197">
              <w:rPr>
                <w:rFonts w:ascii="Calibri" w:hAnsi="Calibri"/>
                <w:sz w:val="22"/>
                <w:szCs w:val="22"/>
              </w:rPr>
              <w:t>All of the time</w:t>
            </w:r>
          </w:p>
          <w:p w:rsidR="00993197"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93197">
              <w:rPr>
                <w:rFonts w:ascii="Calibri" w:hAnsi="Calibri"/>
                <w:sz w:val="22"/>
                <w:szCs w:val="22"/>
              </w:rPr>
              <w:t>Some of the time</w:t>
            </w:r>
          </w:p>
          <w:p w:rsidR="00993197" w:rsidRPr="00CF03BF"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sidR="00993197">
              <w:rPr>
                <w:rFonts w:ascii="Calibri" w:hAnsi="Calibri"/>
                <w:sz w:val="22"/>
                <w:szCs w:val="22"/>
              </w:rPr>
              <w:t>Not at all</w:t>
            </w:r>
          </w:p>
        </w:tc>
        <w:tc>
          <w:tcPr>
            <w:tcW w:w="3882" w:type="dxa"/>
            <w:vAlign w:val="center"/>
          </w:tcPr>
          <w:p w:rsidR="00993197" w:rsidRPr="000D7AF4" w:rsidRDefault="008A4415" w:rsidP="008A4415">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bookmarkStart w:id="6" w:name="Text6"/>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bookmarkEnd w:id="6"/>
          </w:p>
        </w:tc>
        <w:tc>
          <w:tcPr>
            <w:tcW w:w="3883" w:type="dxa"/>
            <w:vAlign w:val="center"/>
          </w:tcPr>
          <w:p w:rsidR="00993197" w:rsidRPr="000D7AF4" w:rsidRDefault="008A4415" w:rsidP="008A4415">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bookmarkStart w:id="7" w:name="Text7"/>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bookmarkEnd w:id="7"/>
          </w:p>
        </w:tc>
      </w:tr>
      <w:tr w:rsidR="008A4415" w:rsidRPr="000D7AF4" w:rsidTr="00906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8A4415" w:rsidRDefault="008A4415" w:rsidP="00A659B7">
            <w:pPr>
              <w:autoSpaceDE w:val="0"/>
              <w:autoSpaceDN w:val="0"/>
              <w:adjustRightInd w:val="0"/>
              <w:spacing w:after="0" w:line="240" w:lineRule="auto"/>
              <w:rPr>
                <w:rFonts w:cs="GillSansMT"/>
                <w:color w:val="000000"/>
              </w:rPr>
            </w:pPr>
            <w:r w:rsidRPr="000D7AF4">
              <w:rPr>
                <w:rFonts w:cs="GillSansMT,BoldItalic"/>
                <w:b/>
                <w:bCs/>
                <w:iCs/>
                <w:color w:val="000000"/>
              </w:rPr>
              <w:t>Hir</w:t>
            </w:r>
            <w:r>
              <w:rPr>
                <w:rFonts w:cs="GillSansMT,BoldItalic"/>
                <w:b/>
                <w:bCs/>
                <w:iCs/>
                <w:color w:val="000000"/>
              </w:rPr>
              <w:t>ing</w:t>
            </w:r>
            <w:r w:rsidRPr="000D7AF4">
              <w:rPr>
                <w:rFonts w:cs="GillSansMT,BoldItalic"/>
                <w:b/>
                <w:bCs/>
                <w:iCs/>
                <w:color w:val="000000"/>
              </w:rPr>
              <w:t xml:space="preserve"> </w:t>
            </w:r>
            <w:r>
              <w:rPr>
                <w:rFonts w:cs="GillSansMT,BoldItalic"/>
                <w:b/>
                <w:bCs/>
                <w:iCs/>
                <w:color w:val="000000"/>
              </w:rPr>
              <w:t>a</w:t>
            </w:r>
            <w:r w:rsidRPr="000D7AF4">
              <w:rPr>
                <w:rFonts w:cs="GillSansMT,BoldItalic"/>
                <w:b/>
                <w:bCs/>
                <w:iCs/>
                <w:color w:val="000000"/>
              </w:rPr>
              <w:t xml:space="preserve">dequate </w:t>
            </w:r>
            <w:r>
              <w:rPr>
                <w:rFonts w:cs="GillSansMT,BoldItalic"/>
                <w:b/>
                <w:bCs/>
                <w:iCs/>
                <w:color w:val="000000"/>
              </w:rPr>
              <w:t>s</w:t>
            </w:r>
            <w:r w:rsidRPr="000D7AF4">
              <w:rPr>
                <w:rFonts w:cs="GillSansMT,BoldItalic"/>
                <w:b/>
                <w:bCs/>
                <w:iCs/>
                <w:color w:val="000000"/>
              </w:rPr>
              <w:t>ecurity</w:t>
            </w:r>
            <w:r w:rsidRPr="000D7AF4">
              <w:rPr>
                <w:rFonts w:cs="GillSansMT"/>
                <w:color w:val="000000"/>
              </w:rPr>
              <w:t xml:space="preserve"> </w:t>
            </w:r>
          </w:p>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DF20DD" w:rsidRDefault="008A4415" w:rsidP="00A659B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cs="GillSansMT"/>
                <w:sz w:val="22"/>
                <w:szCs w:val="22"/>
              </w:rPr>
              <w:lastRenderedPageBreak/>
              <w:t>There is</w:t>
            </w:r>
            <w:r w:rsidRPr="00DF20DD">
              <w:rPr>
                <w:rFonts w:asciiTheme="minorHAnsi" w:hAnsiTheme="minorHAnsi" w:cs="GillSansMT"/>
                <w:sz w:val="22"/>
                <w:szCs w:val="22"/>
              </w:rPr>
              <w:t xml:space="preserve"> adequate security to monitor alcohol consumption.</w:t>
            </w:r>
          </w:p>
        </w:tc>
        <w:tc>
          <w:tcPr>
            <w:tcW w:w="3043" w:type="dxa"/>
            <w:vAlign w:val="center"/>
          </w:tcPr>
          <w:p w:rsidR="008A4415" w:rsidRPr="00172AAD" w:rsidRDefault="008A4415" w:rsidP="00851C79">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51C79">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Some of the time</w:t>
            </w:r>
          </w:p>
          <w:p w:rsidR="008A4415" w:rsidRPr="00CF03BF" w:rsidRDefault="008A4415" w:rsidP="00851C79">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Not at all</w:t>
            </w:r>
          </w:p>
        </w:tc>
        <w:tc>
          <w:tcPr>
            <w:tcW w:w="3882" w:type="dxa"/>
            <w:vMerge w:val="restart"/>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Merge w:val="restart"/>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4D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DF20DD"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GillSansMT"/>
                <w:sz w:val="22"/>
                <w:szCs w:val="22"/>
              </w:rPr>
            </w:pPr>
            <w:r>
              <w:rPr>
                <w:rFonts w:asciiTheme="minorHAnsi" w:hAnsiTheme="minorHAnsi" w:cs="GillSansMT"/>
                <w:sz w:val="22"/>
                <w:szCs w:val="22"/>
              </w:rPr>
              <w:t>There are no alcohol-related incidents observed</w:t>
            </w:r>
          </w:p>
        </w:tc>
        <w:tc>
          <w:tcPr>
            <w:tcW w:w="3043" w:type="dxa"/>
            <w:vAlign w:val="center"/>
          </w:tcPr>
          <w:p w:rsidR="008A4415" w:rsidRPr="00172AAD"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Some of the time</w:t>
            </w:r>
          </w:p>
          <w:p w:rsidR="008A4415" w:rsidRDefault="008A4415" w:rsidP="00A659B7">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Not at all</w:t>
            </w:r>
          </w:p>
        </w:tc>
        <w:tc>
          <w:tcPr>
            <w:tcW w:w="3882" w:type="dxa"/>
            <w:vMerge/>
            <w:vAlign w:val="center"/>
          </w:tcPr>
          <w:p w:rsidR="008A4415" w:rsidRPr="000D7AF4" w:rsidRDefault="008A4415" w:rsidP="00A659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p>
        </w:tc>
        <w:tc>
          <w:tcPr>
            <w:tcW w:w="3883" w:type="dxa"/>
            <w:vMerge/>
            <w:vAlign w:val="center"/>
          </w:tcPr>
          <w:p w:rsidR="008A4415" w:rsidRPr="000D7AF4" w:rsidRDefault="008A4415" w:rsidP="00A659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p>
        </w:tc>
      </w:tr>
      <w:tr w:rsidR="008A4415" w:rsidRPr="000D7AF4" w:rsidTr="004D1C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8A4415" w:rsidRPr="000D7AF4" w:rsidRDefault="008A4415" w:rsidP="00D869E9">
            <w:pPr>
              <w:autoSpaceDE w:val="0"/>
              <w:autoSpaceDN w:val="0"/>
              <w:adjustRightInd w:val="0"/>
              <w:spacing w:after="0" w:line="240" w:lineRule="auto"/>
              <w:rPr>
                <w:rFonts w:cs="GillSansMT,BoldItalic"/>
                <w:b/>
                <w:bCs/>
                <w:iCs/>
                <w:color w:val="000000"/>
              </w:rPr>
            </w:pPr>
            <w:r>
              <w:rPr>
                <w:rFonts w:cs="GillSansMT,BoldItalic"/>
                <w:b/>
                <w:bCs/>
                <w:iCs/>
                <w:color w:val="000000"/>
              </w:rPr>
              <w:lastRenderedPageBreak/>
              <w:t>Prohibiting d</w:t>
            </w:r>
            <w:r w:rsidRPr="000D7AF4">
              <w:rPr>
                <w:rFonts w:cs="GillSansMT,BoldItalic"/>
                <w:b/>
                <w:bCs/>
                <w:iCs/>
                <w:color w:val="000000"/>
              </w:rPr>
              <w:t xml:space="preserve">rinking </w:t>
            </w:r>
            <w:r>
              <w:rPr>
                <w:rFonts w:cs="GillSansMT,BoldItalic"/>
                <w:b/>
                <w:bCs/>
                <w:iCs/>
                <w:color w:val="000000"/>
              </w:rPr>
              <w:t>a</w:t>
            </w:r>
            <w:r w:rsidRPr="000D7AF4">
              <w:rPr>
                <w:rFonts w:cs="GillSansMT,BoldItalic"/>
                <w:b/>
                <w:bCs/>
                <w:iCs/>
                <w:color w:val="000000"/>
              </w:rPr>
              <w:t xml:space="preserve">lcohol on the </w:t>
            </w:r>
            <w:r>
              <w:rPr>
                <w:rFonts w:cs="GillSansMT,BoldItalic"/>
                <w:b/>
                <w:bCs/>
                <w:iCs/>
                <w:color w:val="000000"/>
              </w:rPr>
              <w:t>j</w:t>
            </w:r>
            <w:r w:rsidRPr="000D7AF4">
              <w:rPr>
                <w:rFonts w:cs="GillSansMT,BoldItalic"/>
                <w:b/>
                <w:bCs/>
                <w:iCs/>
                <w:color w:val="000000"/>
              </w:rPr>
              <w:t>ob</w:t>
            </w:r>
            <w:r w:rsidRPr="000D7AF4">
              <w:rPr>
                <w:rFonts w:cs="GillSansMT"/>
                <w:color w:val="000000"/>
              </w:rPr>
              <w:t xml:space="preserve"> </w:t>
            </w:r>
          </w:p>
        </w:tc>
        <w:tc>
          <w:tcPr>
            <w:tcW w:w="2070" w:type="dxa"/>
          </w:tcPr>
          <w:p w:rsidR="008A4415" w:rsidRPr="00DF20DD" w:rsidRDefault="008A4415" w:rsidP="00A659B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DF20DD">
              <w:rPr>
                <w:rFonts w:asciiTheme="minorHAnsi" w:hAnsiTheme="minorHAnsi" w:cs="GillSansMT"/>
                <w:sz w:val="22"/>
                <w:szCs w:val="22"/>
              </w:rPr>
              <w:t xml:space="preserve">Alcohol servers </w:t>
            </w:r>
            <w:r>
              <w:rPr>
                <w:rFonts w:asciiTheme="minorHAnsi" w:hAnsiTheme="minorHAnsi" w:cs="GillSansMT"/>
                <w:sz w:val="22"/>
                <w:szCs w:val="22"/>
              </w:rPr>
              <w:t xml:space="preserve">are not observed drinking alcohol while working. </w:t>
            </w:r>
          </w:p>
        </w:tc>
        <w:tc>
          <w:tcPr>
            <w:tcW w:w="3043" w:type="dxa"/>
            <w:vAlign w:val="center"/>
          </w:tcPr>
          <w:p w:rsidR="008A4415" w:rsidRPr="00172AAD" w:rsidRDefault="008A4415" w:rsidP="00851C79">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51C79">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Some of the time</w:t>
            </w:r>
          </w:p>
          <w:p w:rsidR="008A4415" w:rsidRPr="00CF03BF" w:rsidRDefault="008A4415" w:rsidP="00851C79">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Not at all</w:t>
            </w:r>
          </w:p>
        </w:tc>
        <w:tc>
          <w:tcPr>
            <w:tcW w:w="3882" w:type="dxa"/>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4D1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8A4415" w:rsidRDefault="008A4415" w:rsidP="00A659B7">
            <w:pPr>
              <w:autoSpaceDE w:val="0"/>
              <w:autoSpaceDN w:val="0"/>
              <w:adjustRightInd w:val="0"/>
              <w:spacing w:after="0" w:line="240" w:lineRule="auto"/>
              <w:rPr>
                <w:rFonts w:cs="GillSansMT"/>
                <w:b/>
                <w:color w:val="000000"/>
              </w:rPr>
            </w:pPr>
            <w:r w:rsidRPr="000D7AF4">
              <w:rPr>
                <w:rFonts w:cs="GillSansMT,BoldItalic"/>
                <w:b/>
                <w:bCs/>
                <w:iCs/>
                <w:color w:val="000000"/>
              </w:rPr>
              <w:t>Limit</w:t>
            </w:r>
            <w:r>
              <w:rPr>
                <w:rFonts w:cs="GillSansMT,BoldItalic"/>
                <w:b/>
                <w:bCs/>
                <w:iCs/>
                <w:color w:val="000000"/>
              </w:rPr>
              <w:t>ing</w:t>
            </w:r>
            <w:r w:rsidRPr="000D7AF4">
              <w:rPr>
                <w:rFonts w:cs="GillSansMT,BoldItalic"/>
                <w:b/>
                <w:bCs/>
                <w:iCs/>
                <w:color w:val="000000"/>
              </w:rPr>
              <w:t xml:space="preserve"> </w:t>
            </w:r>
            <w:r>
              <w:rPr>
                <w:rFonts w:cs="GillSansMT,BoldItalic"/>
                <w:b/>
                <w:bCs/>
                <w:iCs/>
                <w:color w:val="000000"/>
              </w:rPr>
              <w:t>a</w:t>
            </w:r>
            <w:r w:rsidRPr="000D7AF4">
              <w:rPr>
                <w:rFonts w:cs="GillSansMT,BoldItalic"/>
                <w:b/>
                <w:bCs/>
                <w:iCs/>
                <w:color w:val="000000"/>
              </w:rPr>
              <w:t xml:space="preserve">lcohol </w:t>
            </w:r>
            <w:r>
              <w:rPr>
                <w:rFonts w:cs="GillSansMT,BoldItalic"/>
                <w:b/>
                <w:bCs/>
                <w:iCs/>
                <w:color w:val="000000"/>
              </w:rPr>
              <w:t>s</w:t>
            </w:r>
            <w:r w:rsidRPr="000D7AF4">
              <w:rPr>
                <w:rFonts w:cs="GillSansMT,BoldItalic"/>
                <w:b/>
                <w:bCs/>
                <w:iCs/>
                <w:color w:val="000000"/>
              </w:rPr>
              <w:t>ponsorship/</w:t>
            </w:r>
            <w:r>
              <w:rPr>
                <w:rFonts w:cs="GillSansMT,BoldItalic"/>
                <w:b/>
                <w:bCs/>
                <w:iCs/>
                <w:color w:val="000000"/>
              </w:rPr>
              <w:t xml:space="preserve"> p</w:t>
            </w:r>
            <w:r w:rsidRPr="000D7AF4">
              <w:rPr>
                <w:rFonts w:cs="GillSansMT,BoldItalic"/>
                <w:b/>
                <w:bCs/>
                <w:iCs/>
                <w:color w:val="000000"/>
              </w:rPr>
              <w:t>romotions</w:t>
            </w:r>
            <w:r w:rsidRPr="000D7AF4">
              <w:rPr>
                <w:rFonts w:cs="GillSansMT"/>
                <w:b/>
                <w:color w:val="000000"/>
              </w:rPr>
              <w:t xml:space="preserve"> </w:t>
            </w:r>
          </w:p>
          <w:p w:rsidR="008A4415" w:rsidRPr="000D7AF4" w:rsidRDefault="008A4415" w:rsidP="00A659B7">
            <w:pPr>
              <w:autoSpaceDE w:val="0"/>
              <w:autoSpaceDN w:val="0"/>
              <w:adjustRightInd w:val="0"/>
              <w:spacing w:after="0" w:line="240" w:lineRule="auto"/>
              <w:rPr>
                <w:rFonts w:cs="GillSansMT,BoldItalic"/>
                <w:bCs/>
                <w:iCs/>
                <w:color w:val="000000"/>
              </w:rPr>
            </w:pPr>
          </w:p>
        </w:tc>
        <w:tc>
          <w:tcPr>
            <w:tcW w:w="2070" w:type="dxa"/>
          </w:tcPr>
          <w:p w:rsidR="008A4415" w:rsidRPr="00DF20DD"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GillSansMT"/>
                <w:sz w:val="22"/>
                <w:szCs w:val="22"/>
              </w:rPr>
              <w:t xml:space="preserve">There are not alcohol industry advertisements. </w:t>
            </w:r>
          </w:p>
        </w:tc>
        <w:tc>
          <w:tcPr>
            <w:tcW w:w="3043" w:type="dxa"/>
            <w:vAlign w:val="center"/>
          </w:tcPr>
          <w:p w:rsidR="008A4415" w:rsidRPr="00172AAD"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Some of the time</w:t>
            </w:r>
          </w:p>
          <w:p w:rsidR="008A4415" w:rsidRPr="00CF03BF"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Not at all</w:t>
            </w:r>
          </w:p>
        </w:tc>
        <w:tc>
          <w:tcPr>
            <w:tcW w:w="3882" w:type="dxa"/>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bl>
    <w:p w:rsidR="00CF03BF" w:rsidRDefault="00CF03BF" w:rsidP="00C01838">
      <w:pPr>
        <w:pStyle w:val="Heading3"/>
      </w:pPr>
      <w:r>
        <w:t>Preventing underage alcohol use</w:t>
      </w:r>
    </w:p>
    <w:tbl>
      <w:tblPr>
        <w:tblStyle w:val="TableStyle"/>
        <w:tblW w:w="14498" w:type="dxa"/>
        <w:tblInd w:w="-695" w:type="dxa"/>
        <w:tblLayout w:type="fixed"/>
        <w:tblLook w:val="04A0" w:firstRow="1" w:lastRow="0" w:firstColumn="1" w:lastColumn="0" w:noHBand="0" w:noVBand="1"/>
      </w:tblPr>
      <w:tblGrid>
        <w:gridCol w:w="1620"/>
        <w:gridCol w:w="2070"/>
        <w:gridCol w:w="3043"/>
        <w:gridCol w:w="3882"/>
        <w:gridCol w:w="3883"/>
      </w:tblGrid>
      <w:tr w:rsidR="00A659B7" w:rsidRPr="000D7AF4" w:rsidTr="00A659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gridSpan w:val="2"/>
          </w:tcPr>
          <w:p w:rsidR="00A659B7" w:rsidRDefault="00A659B7" w:rsidP="00A659B7">
            <w:pPr>
              <w:autoSpaceDE w:val="0"/>
              <w:autoSpaceDN w:val="0"/>
              <w:adjustRightInd w:val="0"/>
              <w:spacing w:after="0" w:line="240" w:lineRule="auto"/>
              <w:jc w:val="center"/>
              <w:rPr>
                <w:rFonts w:cs="GillSansMT,BoldItalic"/>
                <w:bCs/>
                <w:iCs/>
                <w:color w:val="000000"/>
              </w:rPr>
            </w:pPr>
            <w:r w:rsidRPr="002D2C23">
              <w:rPr>
                <w:rFonts w:cs="GillSansMT,BoldItalic"/>
                <w:bCs/>
                <w:iCs/>
                <w:color w:val="000000"/>
              </w:rPr>
              <w:t>Best practice</w:t>
            </w:r>
          </w:p>
        </w:tc>
        <w:tc>
          <w:tcPr>
            <w:tcW w:w="3043" w:type="dxa"/>
            <w:vAlign w:val="center"/>
          </w:tcPr>
          <w:p w:rsidR="00A659B7" w:rsidRPr="002D2C23" w:rsidRDefault="00A659B7" w:rsidP="00A659B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Number of events that implemented best practice…</w:t>
            </w:r>
          </w:p>
        </w:tc>
        <w:tc>
          <w:tcPr>
            <w:tcW w:w="3882" w:type="dxa"/>
          </w:tcPr>
          <w:p w:rsidR="00A659B7" w:rsidRPr="002D2C23" w:rsidRDefault="00A659B7" w:rsidP="00A659B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Common strengths</w:t>
            </w:r>
          </w:p>
        </w:tc>
        <w:tc>
          <w:tcPr>
            <w:tcW w:w="3883" w:type="dxa"/>
          </w:tcPr>
          <w:p w:rsidR="00A659B7" w:rsidRPr="002D2C23" w:rsidRDefault="00A659B7" w:rsidP="00A659B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Common r</w:t>
            </w:r>
            <w:r w:rsidRPr="002D2C23">
              <w:rPr>
                <w:rFonts w:cs="GillSansMT,BoldItalic"/>
                <w:bCs/>
                <w:iCs/>
                <w:color w:val="000000"/>
              </w:rPr>
              <w:t>ecommendations for improvement</w:t>
            </w:r>
          </w:p>
        </w:tc>
      </w:tr>
      <w:tr w:rsidR="008A4415" w:rsidRPr="000D7AF4" w:rsidTr="00423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8A4415" w:rsidRDefault="008A4415" w:rsidP="00A659B7">
            <w:pPr>
              <w:autoSpaceDE w:val="0"/>
              <w:autoSpaceDN w:val="0"/>
              <w:adjustRightInd w:val="0"/>
              <w:spacing w:after="0" w:line="240" w:lineRule="auto"/>
              <w:rPr>
                <w:rFonts w:cs="GillSansMT,BoldItalic"/>
                <w:bCs/>
                <w:iCs/>
                <w:color w:val="000000"/>
              </w:rPr>
            </w:pPr>
            <w:r>
              <w:rPr>
                <w:rFonts w:cs="GillSansMT,BoldItalic"/>
                <w:b/>
                <w:bCs/>
                <w:iCs/>
                <w:color w:val="000000"/>
              </w:rPr>
              <w:t>Checking i</w:t>
            </w:r>
            <w:r w:rsidRPr="002D2C23">
              <w:rPr>
                <w:rFonts w:cs="GillSansMT,BoldItalic"/>
                <w:b/>
                <w:bCs/>
                <w:iCs/>
                <w:color w:val="000000"/>
              </w:rPr>
              <w:t xml:space="preserve">dentification </w:t>
            </w:r>
          </w:p>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cs="GillSansMT"/>
                <w:sz w:val="22"/>
                <w:szCs w:val="22"/>
              </w:rPr>
              <w:t>ID’s are checked at places where alcohol, drink tickets, or wristbands are bought/provided</w:t>
            </w:r>
          </w:p>
        </w:tc>
        <w:tc>
          <w:tcPr>
            <w:tcW w:w="3043" w:type="dxa"/>
            <w:vAlign w:val="center"/>
          </w:tcPr>
          <w:p w:rsidR="008A4415" w:rsidRPr="00172AAD"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Some of the time</w:t>
            </w:r>
          </w:p>
          <w:p w:rsidR="008A4415" w:rsidRPr="00CF03BF" w:rsidRDefault="008A4415" w:rsidP="00851C7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t>Not at all</w:t>
            </w:r>
          </w:p>
        </w:tc>
        <w:tc>
          <w:tcPr>
            <w:tcW w:w="3882"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A659B7" w:rsidRPr="000D7AF4" w:rsidTr="00A659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A659B7" w:rsidRDefault="00A659B7" w:rsidP="00A659B7">
            <w:pPr>
              <w:autoSpaceDE w:val="0"/>
              <w:autoSpaceDN w:val="0"/>
              <w:adjustRightInd w:val="0"/>
              <w:spacing w:after="0" w:line="240" w:lineRule="auto"/>
              <w:rPr>
                <w:rFonts w:cs="GillSansMT,BoldItalic"/>
                <w:b/>
                <w:bCs/>
                <w:iCs/>
                <w:color w:val="000000"/>
              </w:rPr>
            </w:pPr>
          </w:p>
        </w:tc>
        <w:tc>
          <w:tcPr>
            <w:tcW w:w="2070" w:type="dxa"/>
          </w:tcPr>
          <w:p w:rsidR="00A659B7" w:rsidRPr="00A659B7" w:rsidRDefault="00A659B7" w:rsidP="00A659B7">
            <w:pPr>
              <w:pStyle w:val="Default"/>
              <w:cnfStyle w:val="000000010000" w:firstRow="0" w:lastRow="0" w:firstColumn="0" w:lastColumn="0" w:oddVBand="0" w:evenVBand="0" w:oddHBand="0" w:evenHBand="1" w:firstRowFirstColumn="0" w:firstRowLastColumn="0" w:lastRowFirstColumn="0" w:lastRowLastColumn="0"/>
              <w:rPr>
                <w:rFonts w:ascii="Calibri" w:hAnsi="Calibri" w:cs="GillSansMT"/>
                <w:sz w:val="22"/>
                <w:szCs w:val="22"/>
              </w:rPr>
            </w:pPr>
            <w:r>
              <w:rPr>
                <w:rFonts w:ascii="Calibri" w:hAnsi="Calibri" w:cs="GillSansMT"/>
                <w:sz w:val="22"/>
                <w:szCs w:val="22"/>
              </w:rPr>
              <w:t>ID’s appear to be checked for everyone who looks under 30 years old</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A659B7"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A659B7" w:rsidRPr="000D7AF4" w:rsidRDefault="00A659B7"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c>
          <w:tcPr>
            <w:tcW w:w="3883" w:type="dxa"/>
            <w:vMerge/>
          </w:tcPr>
          <w:p w:rsidR="00A659B7" w:rsidRPr="000D7AF4" w:rsidRDefault="00A659B7"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r>
      <w:tr w:rsidR="008A4415" w:rsidRPr="000D7AF4" w:rsidTr="004E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8A4415" w:rsidRDefault="008A4415" w:rsidP="00A659B7">
            <w:pPr>
              <w:autoSpaceDE w:val="0"/>
              <w:autoSpaceDN w:val="0"/>
              <w:adjustRightInd w:val="0"/>
              <w:spacing w:after="0" w:line="240" w:lineRule="auto"/>
              <w:rPr>
                <w:rFonts w:cs="GillSansMT"/>
                <w:color w:val="000000"/>
              </w:rPr>
            </w:pPr>
            <w:r w:rsidRPr="002D2C23">
              <w:rPr>
                <w:rFonts w:cs="GillSansMT,BoldItalic"/>
                <w:b/>
                <w:bCs/>
                <w:iCs/>
                <w:color w:val="000000"/>
              </w:rPr>
              <w:lastRenderedPageBreak/>
              <w:t>Enclos</w:t>
            </w:r>
            <w:r>
              <w:rPr>
                <w:rFonts w:cs="GillSansMT,BoldItalic"/>
                <w:b/>
                <w:bCs/>
                <w:iCs/>
                <w:color w:val="000000"/>
              </w:rPr>
              <w:t>ing an a</w:t>
            </w:r>
            <w:r w:rsidRPr="002D2C23">
              <w:rPr>
                <w:rFonts w:cs="GillSansMT,BoldItalic"/>
                <w:b/>
                <w:bCs/>
                <w:iCs/>
                <w:color w:val="000000"/>
              </w:rPr>
              <w:t>rea</w:t>
            </w:r>
            <w:r w:rsidRPr="002D2C23">
              <w:rPr>
                <w:rFonts w:cs="GillSansMT"/>
                <w:color w:val="000000"/>
              </w:rPr>
              <w:t xml:space="preserve"> </w:t>
            </w:r>
          </w:p>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cs="GillSansMT"/>
                <w:sz w:val="22"/>
                <w:szCs w:val="22"/>
              </w:rPr>
              <w:t xml:space="preserve">There is a designated area where alcohol is </w:t>
            </w:r>
            <w:r w:rsidRPr="00A659B7">
              <w:rPr>
                <w:rFonts w:ascii="Calibri" w:hAnsi="Calibri" w:cs="GillSansMT"/>
                <w:sz w:val="22"/>
                <w:szCs w:val="22"/>
                <w:u w:val="single"/>
              </w:rPr>
              <w:t>sold</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A659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A659B7">
            <w:pPr>
              <w:pStyle w:val="Default"/>
              <w:cnfStyle w:val="000000010000" w:firstRow="0" w:lastRow="0" w:firstColumn="0" w:lastColumn="0" w:oddVBand="0" w:evenVBand="0" w:oddHBand="0" w:evenHBand="1" w:firstRowFirstColumn="0" w:firstRowLastColumn="0" w:lastRowFirstColumn="0" w:lastRowLastColumn="0"/>
              <w:rPr>
                <w:rFonts w:ascii="Calibri" w:hAnsi="Calibri" w:cs="GillSansMT"/>
                <w:sz w:val="22"/>
                <w:szCs w:val="22"/>
              </w:rPr>
            </w:pPr>
            <w:r>
              <w:rPr>
                <w:rFonts w:ascii="Calibri" w:hAnsi="Calibri" w:cs="GillSansMT"/>
                <w:sz w:val="22"/>
                <w:szCs w:val="22"/>
              </w:rPr>
              <w:t xml:space="preserve">There is a designated area where alcohol is </w:t>
            </w:r>
            <w:r w:rsidRPr="00A659B7">
              <w:rPr>
                <w:rFonts w:ascii="Calibri" w:hAnsi="Calibri" w:cs="GillSansMT"/>
                <w:sz w:val="22"/>
                <w:szCs w:val="22"/>
                <w:u w:val="single"/>
              </w:rPr>
              <w:t>consumed</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r>
      <w:tr w:rsidR="008A4415" w:rsidRPr="000D7AF4" w:rsidTr="00A6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Pr="002D2C23" w:rsidRDefault="008A4415" w:rsidP="00A659B7">
            <w:pPr>
              <w:autoSpaceDE w:val="0"/>
              <w:autoSpaceDN w:val="0"/>
              <w:adjustRightInd w:val="0"/>
              <w:spacing w:after="0" w:line="240" w:lineRule="auto"/>
              <w:rPr>
                <w:rFonts w:cs="GillSansMT,BoldItalic"/>
                <w:b/>
                <w:bCs/>
                <w:iCs/>
                <w:color w:val="000000"/>
              </w:rPr>
            </w:pPr>
          </w:p>
        </w:tc>
        <w:tc>
          <w:tcPr>
            <w:tcW w:w="2070" w:type="dxa"/>
            <w:vAlign w:val="center"/>
          </w:tcPr>
          <w:p w:rsidR="008A4415" w:rsidRPr="00A659B7"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Calibri" w:hAnsi="Calibri" w:cs="GillSansMT"/>
                <w:sz w:val="22"/>
                <w:szCs w:val="22"/>
              </w:rPr>
            </w:pPr>
            <w:r>
              <w:rPr>
                <w:rFonts w:ascii="Calibri" w:hAnsi="Calibri" w:cs="GillSansMT"/>
                <w:sz w:val="22"/>
                <w:szCs w:val="22"/>
              </w:rPr>
              <w:t>Individuals under age 21 are not allowed in the designated area</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A659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A659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p>
        </w:tc>
      </w:tr>
      <w:tr w:rsidR="008A4415" w:rsidRPr="000D7AF4" w:rsidTr="00A659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Pr="002D2C23" w:rsidRDefault="008A4415" w:rsidP="00A659B7">
            <w:pPr>
              <w:autoSpaceDE w:val="0"/>
              <w:autoSpaceDN w:val="0"/>
              <w:adjustRightInd w:val="0"/>
              <w:spacing w:after="0" w:line="240" w:lineRule="auto"/>
              <w:rPr>
                <w:rFonts w:cs="GillSansMT,BoldItalic"/>
                <w:b/>
                <w:bCs/>
                <w:iCs/>
                <w:color w:val="000000"/>
              </w:rPr>
            </w:pPr>
          </w:p>
        </w:tc>
        <w:tc>
          <w:tcPr>
            <w:tcW w:w="2070" w:type="dxa"/>
            <w:vAlign w:val="center"/>
          </w:tcPr>
          <w:p w:rsidR="008A4415" w:rsidRPr="00A659B7" w:rsidRDefault="008A4415" w:rsidP="00A659B7">
            <w:pPr>
              <w:pStyle w:val="Default"/>
              <w:cnfStyle w:val="000000010000" w:firstRow="0" w:lastRow="0" w:firstColumn="0" w:lastColumn="0" w:oddVBand="0" w:evenVBand="0" w:oddHBand="0" w:evenHBand="1" w:firstRowFirstColumn="0" w:firstRowLastColumn="0" w:lastRowFirstColumn="0" w:lastRowLastColumn="0"/>
              <w:rPr>
                <w:rFonts w:ascii="Calibri" w:hAnsi="Calibri" w:cs="GillSansMT"/>
                <w:sz w:val="22"/>
                <w:szCs w:val="22"/>
              </w:rPr>
            </w:pPr>
            <w:r>
              <w:rPr>
                <w:rFonts w:ascii="Calibri" w:hAnsi="Calibri" w:cs="GillSansMT"/>
                <w:sz w:val="22"/>
                <w:szCs w:val="22"/>
              </w:rPr>
              <w:t xml:space="preserve">There are staff </w:t>
            </w:r>
            <w:r w:rsidRPr="00A659B7">
              <w:rPr>
                <w:rFonts w:ascii="Calibri" w:hAnsi="Calibri" w:cs="GillSansMT"/>
                <w:sz w:val="22"/>
                <w:szCs w:val="22"/>
                <w:u w:val="single"/>
              </w:rPr>
              <w:t>and</w:t>
            </w:r>
            <w:r>
              <w:rPr>
                <w:rFonts w:ascii="Calibri" w:hAnsi="Calibri" w:cs="GillSansMT"/>
                <w:sz w:val="22"/>
                <w:szCs w:val="22"/>
              </w:rPr>
              <w:t xml:space="preserve"> physical barriers restricting the area</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r>
      <w:tr w:rsidR="008A4415" w:rsidRPr="000D7AF4" w:rsidTr="00FB050B">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8A4415" w:rsidRDefault="008A4415" w:rsidP="00A659B7">
            <w:pPr>
              <w:autoSpaceDE w:val="0"/>
              <w:autoSpaceDN w:val="0"/>
              <w:adjustRightInd w:val="0"/>
              <w:spacing w:after="0" w:line="240" w:lineRule="auto"/>
              <w:rPr>
                <w:rFonts w:cs="GillSansMT"/>
                <w:color w:val="000000"/>
              </w:rPr>
            </w:pPr>
            <w:r w:rsidRPr="002D2C23">
              <w:rPr>
                <w:rFonts w:cs="GillSansMT,BoldItalic"/>
                <w:b/>
                <w:bCs/>
                <w:iCs/>
                <w:color w:val="000000"/>
              </w:rPr>
              <w:t>Us</w:t>
            </w:r>
            <w:r>
              <w:rPr>
                <w:rFonts w:cs="GillSansMT,BoldItalic"/>
                <w:b/>
                <w:bCs/>
                <w:iCs/>
                <w:color w:val="000000"/>
              </w:rPr>
              <w:t>ing</w:t>
            </w:r>
            <w:r w:rsidRPr="002D2C23">
              <w:rPr>
                <w:rFonts w:cs="GillSansMT,BoldItalic"/>
                <w:b/>
                <w:bCs/>
                <w:iCs/>
                <w:color w:val="000000"/>
              </w:rPr>
              <w:t xml:space="preserve"> </w:t>
            </w:r>
            <w:r>
              <w:rPr>
                <w:rFonts w:cs="GillSansMT,BoldItalic"/>
                <w:b/>
                <w:bCs/>
                <w:iCs/>
                <w:color w:val="000000"/>
              </w:rPr>
              <w:t>w</w:t>
            </w:r>
            <w:r w:rsidRPr="002D2C23">
              <w:rPr>
                <w:rFonts w:cs="GillSansMT,BoldItalic"/>
                <w:b/>
                <w:bCs/>
                <w:iCs/>
                <w:color w:val="000000"/>
              </w:rPr>
              <w:t>ristbands</w:t>
            </w:r>
            <w:r w:rsidRPr="002D2C23">
              <w:rPr>
                <w:rFonts w:cs="GillSansMT"/>
                <w:color w:val="000000"/>
              </w:rPr>
              <w:t xml:space="preserve"> </w:t>
            </w:r>
          </w:p>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cs="GillSansMT"/>
                <w:sz w:val="22"/>
                <w:szCs w:val="22"/>
              </w:rPr>
              <w:t>Wristbands are used to identify people over age 21</w:t>
            </w:r>
            <w:r w:rsidRPr="00A659B7">
              <w:rPr>
                <w:rFonts w:ascii="Calibri" w:hAnsi="Calibri" w:cs="GillSansMT"/>
                <w:sz w:val="22"/>
                <w:szCs w:val="22"/>
              </w:rPr>
              <w:t xml:space="preserve"> </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A659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A659B7">
            <w:pPr>
              <w:pStyle w:val="Default"/>
              <w:cnfStyle w:val="000000010000" w:firstRow="0" w:lastRow="0" w:firstColumn="0" w:lastColumn="0" w:oddVBand="0" w:evenVBand="0" w:oddHBand="0" w:evenHBand="1" w:firstRowFirstColumn="0" w:firstRowLastColumn="0" w:lastRowFirstColumn="0" w:lastRowLastColumn="0"/>
              <w:rPr>
                <w:rFonts w:ascii="Calibri" w:hAnsi="Calibri" w:cs="GillSansMT"/>
                <w:sz w:val="22"/>
                <w:szCs w:val="22"/>
              </w:rPr>
            </w:pPr>
            <w:r>
              <w:rPr>
                <w:rFonts w:ascii="Calibri" w:hAnsi="Calibri" w:cs="GillSansMT"/>
                <w:sz w:val="22"/>
                <w:szCs w:val="22"/>
              </w:rPr>
              <w:t>Wristbands are applied by staff</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A659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r>
      <w:tr w:rsidR="008A4415" w:rsidRPr="000D7AF4" w:rsidTr="00A6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A659B7">
            <w:pPr>
              <w:pStyle w:val="Default"/>
              <w:cnfStyle w:val="000000100000" w:firstRow="0" w:lastRow="0" w:firstColumn="0" w:lastColumn="0" w:oddVBand="0" w:evenVBand="0" w:oddHBand="1" w:evenHBand="0" w:firstRowFirstColumn="0" w:firstRowLastColumn="0" w:lastRowFirstColumn="0" w:lastRowLastColumn="0"/>
              <w:rPr>
                <w:rFonts w:ascii="Calibri" w:hAnsi="Calibri" w:cs="GillSansMT"/>
                <w:sz w:val="22"/>
                <w:szCs w:val="22"/>
              </w:rPr>
            </w:pPr>
            <w:r>
              <w:rPr>
                <w:rFonts w:ascii="Calibri" w:hAnsi="Calibri" w:cs="GillSansMT"/>
                <w:sz w:val="22"/>
                <w:szCs w:val="22"/>
              </w:rPr>
              <w:t>Wristbands are secure enough to prevent transferring them to others</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A659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A659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p>
        </w:tc>
      </w:tr>
      <w:tr w:rsidR="008A4415" w:rsidRPr="000D7AF4" w:rsidTr="00CD72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8A4415" w:rsidRDefault="008A4415" w:rsidP="00A659B7">
            <w:pPr>
              <w:autoSpaceDE w:val="0"/>
              <w:autoSpaceDN w:val="0"/>
              <w:adjustRightInd w:val="0"/>
              <w:spacing w:after="0" w:line="240" w:lineRule="auto"/>
              <w:rPr>
                <w:rFonts w:cs="GillSansMT"/>
                <w:color w:val="000000"/>
              </w:rPr>
            </w:pPr>
            <w:r>
              <w:rPr>
                <w:rFonts w:cs="GillSansMT,BoldItalic"/>
                <w:b/>
                <w:bCs/>
                <w:iCs/>
                <w:color w:val="000000"/>
              </w:rPr>
              <w:t>Limiting servings</w:t>
            </w:r>
            <w:r w:rsidRPr="002D2C23">
              <w:rPr>
                <w:rFonts w:cs="GillSansMT"/>
                <w:color w:val="000000"/>
              </w:rPr>
              <w:t xml:space="preserve"> </w:t>
            </w:r>
          </w:p>
          <w:p w:rsidR="008A4415" w:rsidRPr="000D7AF4" w:rsidRDefault="008A4415" w:rsidP="00A659B7">
            <w:pPr>
              <w:autoSpaceDE w:val="0"/>
              <w:autoSpaceDN w:val="0"/>
              <w:adjustRightInd w:val="0"/>
              <w:spacing w:after="0" w:line="240" w:lineRule="auto"/>
              <w:rPr>
                <w:rFonts w:cs="GillSansMT,BoldItalic"/>
                <w:bCs/>
                <w:iCs/>
                <w:color w:val="000000"/>
              </w:rPr>
            </w:pPr>
          </w:p>
        </w:tc>
        <w:tc>
          <w:tcPr>
            <w:tcW w:w="2070" w:type="dxa"/>
          </w:tcPr>
          <w:p w:rsidR="008A4415" w:rsidRPr="00A659B7" w:rsidRDefault="008A4415" w:rsidP="00A659B7">
            <w:pPr>
              <w:pStyle w:val="Default"/>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cs="GillSansMT"/>
                <w:sz w:val="22"/>
                <w:szCs w:val="22"/>
              </w:rPr>
              <w:t>Individuals are not allowed to buy more than one drink at a time</w:t>
            </w:r>
            <w:r w:rsidRPr="00A659B7">
              <w:rPr>
                <w:rFonts w:ascii="Calibri" w:hAnsi="Calibri" w:cs="GillSansMT"/>
                <w:sz w:val="22"/>
                <w:szCs w:val="22"/>
              </w:rPr>
              <w:t xml:space="preserve"> </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0E2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8A4415" w:rsidRDefault="008A4415" w:rsidP="00A659B7">
            <w:pPr>
              <w:autoSpaceDE w:val="0"/>
              <w:autoSpaceDN w:val="0"/>
              <w:adjustRightInd w:val="0"/>
              <w:spacing w:after="0" w:line="240" w:lineRule="auto"/>
              <w:rPr>
                <w:rFonts w:cs="GillSansMT"/>
                <w:color w:val="000000"/>
              </w:rPr>
            </w:pPr>
            <w:r w:rsidRPr="002D2C23">
              <w:rPr>
                <w:rFonts w:cs="GillSansMT,BoldItalic"/>
                <w:b/>
                <w:bCs/>
                <w:iCs/>
                <w:color w:val="000000"/>
              </w:rPr>
              <w:t>Us</w:t>
            </w:r>
            <w:r>
              <w:rPr>
                <w:rFonts w:cs="GillSansMT,BoldItalic"/>
                <w:b/>
                <w:bCs/>
                <w:iCs/>
                <w:color w:val="000000"/>
              </w:rPr>
              <w:t>ing</w:t>
            </w:r>
            <w:r w:rsidRPr="002D2C23">
              <w:rPr>
                <w:rFonts w:cs="GillSansMT,BoldItalic"/>
                <w:b/>
                <w:bCs/>
                <w:iCs/>
                <w:color w:val="000000"/>
              </w:rPr>
              <w:t xml:space="preserve"> </w:t>
            </w:r>
            <w:r>
              <w:rPr>
                <w:rFonts w:cs="GillSansMT,BoldItalic"/>
                <w:b/>
                <w:bCs/>
                <w:iCs/>
                <w:color w:val="000000"/>
              </w:rPr>
              <w:t>d</w:t>
            </w:r>
            <w:r w:rsidRPr="002D2C23">
              <w:rPr>
                <w:rFonts w:cs="GillSansMT,BoldItalic"/>
                <w:b/>
                <w:bCs/>
                <w:iCs/>
                <w:color w:val="000000"/>
              </w:rPr>
              <w:t xml:space="preserve">istinguishable </w:t>
            </w:r>
            <w:r>
              <w:rPr>
                <w:rFonts w:cs="GillSansMT,BoldItalic"/>
                <w:b/>
                <w:bCs/>
                <w:iCs/>
                <w:color w:val="000000"/>
              </w:rPr>
              <w:t>c</w:t>
            </w:r>
            <w:r w:rsidRPr="002D2C23">
              <w:rPr>
                <w:rFonts w:cs="GillSansMT,BoldItalic"/>
                <w:b/>
                <w:bCs/>
                <w:iCs/>
                <w:color w:val="000000"/>
              </w:rPr>
              <w:t>ups</w:t>
            </w:r>
            <w:r w:rsidRPr="002D2C23">
              <w:rPr>
                <w:rFonts w:cs="GillSansMT"/>
                <w:color w:val="000000"/>
              </w:rPr>
              <w:t xml:space="preserve"> </w:t>
            </w:r>
          </w:p>
          <w:p w:rsidR="008A4415" w:rsidRPr="000D7AF4" w:rsidRDefault="008A4415" w:rsidP="00A659B7">
            <w:pPr>
              <w:autoSpaceDE w:val="0"/>
              <w:autoSpaceDN w:val="0"/>
              <w:adjustRightInd w:val="0"/>
              <w:spacing w:after="0" w:line="240" w:lineRule="auto"/>
              <w:rPr>
                <w:rFonts w:cs="GillSansMT,BoldItalic"/>
                <w:b/>
                <w:bCs/>
                <w:iCs/>
                <w:color w:val="000000"/>
              </w:rPr>
            </w:pPr>
          </w:p>
        </w:tc>
        <w:tc>
          <w:tcPr>
            <w:tcW w:w="2070" w:type="dxa"/>
          </w:tcPr>
          <w:p w:rsidR="008A4415" w:rsidRPr="00A659B7" w:rsidRDefault="008A4415" w:rsidP="00EA1B8D">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w:t>
            </w:r>
            <w:r w:rsidRPr="00325A56">
              <w:rPr>
                <w:rFonts w:ascii="Calibri" w:hAnsi="Calibri"/>
                <w:sz w:val="22"/>
                <w:szCs w:val="22"/>
              </w:rPr>
              <w:t xml:space="preserve">lcoholic beverages </w:t>
            </w:r>
            <w:r>
              <w:rPr>
                <w:rFonts w:ascii="Calibri" w:hAnsi="Calibri"/>
                <w:sz w:val="22"/>
                <w:szCs w:val="22"/>
              </w:rPr>
              <w:t xml:space="preserve">are </w:t>
            </w:r>
            <w:r w:rsidRPr="00325A56">
              <w:rPr>
                <w:rFonts w:ascii="Calibri" w:hAnsi="Calibri"/>
                <w:sz w:val="22"/>
                <w:szCs w:val="22"/>
              </w:rPr>
              <w:t xml:space="preserve">served in containers that </w:t>
            </w:r>
            <w:r>
              <w:rPr>
                <w:rFonts w:ascii="Calibri" w:hAnsi="Calibri"/>
                <w:sz w:val="22"/>
                <w:szCs w:val="22"/>
              </w:rPr>
              <w:t>are</w:t>
            </w:r>
            <w:r w:rsidRPr="00325A56">
              <w:rPr>
                <w:rFonts w:ascii="Calibri" w:hAnsi="Calibri"/>
                <w:sz w:val="22"/>
                <w:szCs w:val="22"/>
              </w:rPr>
              <w:t xml:space="preserve"> distinguishable from non-alcoholic beverages</w:t>
            </w:r>
          </w:p>
        </w:tc>
        <w:tc>
          <w:tcPr>
            <w:tcW w:w="3043" w:type="dxa"/>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bl>
    <w:p w:rsidR="00CF03BF" w:rsidRDefault="00CF03BF" w:rsidP="00CF03BF">
      <w:pPr>
        <w:pStyle w:val="Heading3"/>
      </w:pPr>
      <w:r w:rsidRPr="00916E06">
        <w:t xml:space="preserve">Preventing </w:t>
      </w:r>
      <w:r>
        <w:t>i</w:t>
      </w:r>
      <w:r w:rsidRPr="00916E06">
        <w:t>ntoxication</w:t>
      </w:r>
    </w:p>
    <w:tbl>
      <w:tblPr>
        <w:tblStyle w:val="TableStyle"/>
        <w:tblW w:w="14498" w:type="dxa"/>
        <w:tblInd w:w="-695" w:type="dxa"/>
        <w:tblLayout w:type="fixed"/>
        <w:tblLook w:val="04A0" w:firstRow="1" w:lastRow="0" w:firstColumn="1" w:lastColumn="0" w:noHBand="0" w:noVBand="1"/>
      </w:tblPr>
      <w:tblGrid>
        <w:gridCol w:w="1620"/>
        <w:gridCol w:w="2070"/>
        <w:gridCol w:w="3043"/>
        <w:gridCol w:w="3882"/>
        <w:gridCol w:w="3883"/>
      </w:tblGrid>
      <w:tr w:rsidR="00EA1B8D" w:rsidRPr="000D7AF4" w:rsidTr="004204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gridSpan w:val="2"/>
          </w:tcPr>
          <w:p w:rsidR="00EA1B8D" w:rsidRDefault="00EA1B8D" w:rsidP="00420419">
            <w:pPr>
              <w:autoSpaceDE w:val="0"/>
              <w:autoSpaceDN w:val="0"/>
              <w:adjustRightInd w:val="0"/>
              <w:spacing w:after="0" w:line="240" w:lineRule="auto"/>
              <w:jc w:val="center"/>
              <w:rPr>
                <w:rFonts w:cs="GillSansMT,BoldItalic"/>
                <w:bCs/>
                <w:iCs/>
                <w:color w:val="000000"/>
              </w:rPr>
            </w:pPr>
            <w:r w:rsidRPr="002D2C23">
              <w:rPr>
                <w:rFonts w:cs="GillSansMT,BoldItalic"/>
                <w:bCs/>
                <w:iCs/>
                <w:color w:val="000000"/>
              </w:rPr>
              <w:t>Best practice</w:t>
            </w:r>
          </w:p>
        </w:tc>
        <w:tc>
          <w:tcPr>
            <w:tcW w:w="3043" w:type="dxa"/>
            <w:vAlign w:val="center"/>
          </w:tcPr>
          <w:p w:rsidR="00EA1B8D" w:rsidRPr="002D2C23" w:rsidRDefault="00EA1B8D" w:rsidP="004204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Number of events that implemented best practice…</w:t>
            </w:r>
          </w:p>
        </w:tc>
        <w:tc>
          <w:tcPr>
            <w:tcW w:w="3882" w:type="dxa"/>
          </w:tcPr>
          <w:p w:rsidR="00EA1B8D" w:rsidRPr="002D2C23" w:rsidRDefault="00EA1B8D" w:rsidP="004204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Common strengths</w:t>
            </w:r>
          </w:p>
        </w:tc>
        <w:tc>
          <w:tcPr>
            <w:tcW w:w="3883" w:type="dxa"/>
          </w:tcPr>
          <w:p w:rsidR="00EA1B8D" w:rsidRPr="002D2C23" w:rsidRDefault="00EA1B8D" w:rsidP="0042041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GillSansMT,BoldItalic"/>
                <w:bCs/>
                <w:iCs/>
                <w:color w:val="000000"/>
              </w:rPr>
            </w:pPr>
            <w:r>
              <w:rPr>
                <w:rFonts w:cs="GillSansMT,BoldItalic"/>
                <w:bCs/>
                <w:iCs/>
                <w:color w:val="000000"/>
              </w:rPr>
              <w:t>Common r</w:t>
            </w:r>
            <w:r w:rsidRPr="002D2C23">
              <w:rPr>
                <w:rFonts w:cs="GillSansMT,BoldItalic"/>
                <w:bCs/>
                <w:iCs/>
                <w:color w:val="000000"/>
              </w:rPr>
              <w:t>ecommendations for improvement</w:t>
            </w:r>
          </w:p>
        </w:tc>
      </w:tr>
      <w:tr w:rsidR="008A4415" w:rsidRPr="000D7AF4" w:rsidTr="00F64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8A4415" w:rsidRPr="00C01838" w:rsidRDefault="008A4415" w:rsidP="00420419">
            <w:pPr>
              <w:autoSpaceDE w:val="0"/>
              <w:autoSpaceDN w:val="0"/>
              <w:adjustRightInd w:val="0"/>
              <w:spacing w:after="0" w:line="240" w:lineRule="auto"/>
              <w:rPr>
                <w:rFonts w:cs="GillSansMT"/>
                <w:color w:val="000000"/>
              </w:rPr>
            </w:pPr>
            <w:r>
              <w:rPr>
                <w:rFonts w:cs="GillSansMT,BoldItalic"/>
                <w:b/>
                <w:bCs/>
                <w:iCs/>
                <w:color w:val="000000"/>
              </w:rPr>
              <w:t>Refusing s</w:t>
            </w:r>
            <w:r w:rsidRPr="002D2C23">
              <w:rPr>
                <w:rFonts w:cs="GillSansMT,BoldItalic"/>
                <w:b/>
                <w:bCs/>
                <w:iCs/>
                <w:color w:val="000000"/>
              </w:rPr>
              <w:t xml:space="preserve">ales to </w:t>
            </w:r>
            <w:r>
              <w:rPr>
                <w:rFonts w:cs="GillSansMT,BoldItalic"/>
                <w:b/>
                <w:bCs/>
                <w:iCs/>
                <w:color w:val="000000"/>
              </w:rPr>
              <w:t>o</w:t>
            </w:r>
            <w:r w:rsidRPr="002D2C23">
              <w:rPr>
                <w:rFonts w:cs="GillSansMT,BoldItalic"/>
                <w:b/>
                <w:bCs/>
                <w:iCs/>
                <w:color w:val="000000"/>
              </w:rPr>
              <w:t xml:space="preserve">bviously </w:t>
            </w:r>
            <w:r>
              <w:rPr>
                <w:rFonts w:cs="GillSansMT,BoldItalic"/>
                <w:b/>
                <w:bCs/>
                <w:iCs/>
                <w:color w:val="000000"/>
              </w:rPr>
              <w:t>i</w:t>
            </w:r>
            <w:r w:rsidRPr="002D2C23">
              <w:rPr>
                <w:rFonts w:cs="GillSansMT,BoldItalic"/>
                <w:b/>
                <w:bCs/>
                <w:iCs/>
                <w:color w:val="000000"/>
              </w:rPr>
              <w:t xml:space="preserve">ntoxicated </w:t>
            </w:r>
            <w:r>
              <w:rPr>
                <w:rFonts w:cs="GillSansMT,BoldItalic"/>
                <w:b/>
                <w:bCs/>
                <w:iCs/>
                <w:color w:val="000000"/>
              </w:rPr>
              <w:t>c</w:t>
            </w:r>
            <w:r w:rsidRPr="002D2C23">
              <w:rPr>
                <w:rFonts w:cs="GillSansMT,BoldItalic"/>
                <w:b/>
                <w:bCs/>
                <w:iCs/>
                <w:color w:val="000000"/>
              </w:rPr>
              <w:t>ustomers</w:t>
            </w:r>
            <w:r w:rsidRPr="002D2C23">
              <w:rPr>
                <w:rFonts w:cs="GillSansMT"/>
                <w:color w:val="000000"/>
              </w:rPr>
              <w:t xml:space="preserve"> </w:t>
            </w:r>
          </w:p>
        </w:tc>
        <w:tc>
          <w:tcPr>
            <w:tcW w:w="2070" w:type="dxa"/>
          </w:tcPr>
          <w:p w:rsidR="008A4415" w:rsidRPr="00EA1B8D" w:rsidRDefault="008A4415" w:rsidP="00C01838">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A1B8D">
              <w:rPr>
                <w:rFonts w:ascii="Calibri" w:hAnsi="Calibri" w:cs="GillSansMT"/>
                <w:sz w:val="22"/>
                <w:szCs w:val="22"/>
              </w:rPr>
              <w:t xml:space="preserve">Alcohol servers are not observed </w:t>
            </w:r>
            <w:r>
              <w:rPr>
                <w:rFonts w:ascii="Calibri" w:hAnsi="Calibri" w:cs="GillSansMT"/>
                <w:sz w:val="22"/>
                <w:szCs w:val="22"/>
              </w:rPr>
              <w:t>selling alcohol to obviously intoxicated people</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CF03BF"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030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8A4415" w:rsidRPr="000D7AF4" w:rsidRDefault="008A4415" w:rsidP="00420419">
            <w:pPr>
              <w:autoSpaceDE w:val="0"/>
              <w:autoSpaceDN w:val="0"/>
              <w:adjustRightInd w:val="0"/>
              <w:spacing w:after="0" w:line="240" w:lineRule="auto"/>
              <w:rPr>
                <w:rFonts w:cs="GillSansMT,BoldItalic"/>
                <w:b/>
                <w:bCs/>
                <w:iCs/>
                <w:color w:val="000000"/>
              </w:rPr>
            </w:pPr>
            <w:r w:rsidRPr="002D2C23">
              <w:rPr>
                <w:rFonts w:cs="GillSansMT,BoldItalic"/>
                <w:b/>
                <w:bCs/>
                <w:iCs/>
                <w:color w:val="000000"/>
              </w:rPr>
              <w:lastRenderedPageBreak/>
              <w:t>Limit</w:t>
            </w:r>
            <w:r>
              <w:rPr>
                <w:rFonts w:cs="GillSansMT,BoldItalic"/>
                <w:b/>
                <w:bCs/>
                <w:iCs/>
                <w:color w:val="000000"/>
              </w:rPr>
              <w:t>ing c</w:t>
            </w:r>
            <w:r w:rsidRPr="002D2C23">
              <w:rPr>
                <w:rFonts w:cs="GillSansMT,BoldItalic"/>
                <w:b/>
                <w:bCs/>
                <w:iCs/>
                <w:color w:val="000000"/>
              </w:rPr>
              <w:t xml:space="preserve">up </w:t>
            </w:r>
            <w:r>
              <w:rPr>
                <w:rFonts w:cs="GillSansMT,BoldItalic"/>
                <w:b/>
                <w:bCs/>
                <w:iCs/>
                <w:color w:val="000000"/>
              </w:rPr>
              <w:t>s</w:t>
            </w:r>
            <w:r w:rsidRPr="002D2C23">
              <w:rPr>
                <w:rFonts w:cs="GillSansMT,BoldItalic"/>
                <w:b/>
                <w:bCs/>
                <w:iCs/>
                <w:color w:val="000000"/>
              </w:rPr>
              <w:t>ize</w:t>
            </w:r>
            <w:r w:rsidRPr="00325A56">
              <w:rPr>
                <w:rFonts w:cs="GillSansMT"/>
                <w:b/>
                <w:color w:val="000000"/>
              </w:rPr>
              <w:t xml:space="preserve"> to </w:t>
            </w:r>
            <w:r>
              <w:rPr>
                <w:rFonts w:cs="GillSansMT"/>
                <w:b/>
                <w:color w:val="000000"/>
              </w:rPr>
              <w:t>one serving</w:t>
            </w:r>
          </w:p>
        </w:tc>
        <w:tc>
          <w:tcPr>
            <w:tcW w:w="2070" w:type="dxa"/>
          </w:tcPr>
          <w:p w:rsidR="008A4415" w:rsidRPr="00C01838" w:rsidRDefault="008A4415" w:rsidP="0042041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C01838">
              <w:rPr>
                <w:rFonts w:asciiTheme="minorHAnsi" w:hAnsiTheme="minorHAnsi"/>
                <w:sz w:val="22"/>
                <w:szCs w:val="22"/>
              </w:rPr>
              <w:t xml:space="preserve">Drinks </w:t>
            </w:r>
            <w:r w:rsidRPr="00C01838">
              <w:rPr>
                <w:rFonts w:asciiTheme="minorHAnsi" w:hAnsiTheme="minorHAnsi"/>
                <w:sz w:val="22"/>
                <w:szCs w:val="22"/>
                <w:u w:val="single"/>
              </w:rPr>
              <w:t>larger than one serving</w:t>
            </w:r>
            <w:r w:rsidRPr="00C01838">
              <w:rPr>
                <w:rFonts w:asciiTheme="minorHAnsi" w:hAnsiTheme="minorHAnsi"/>
                <w:sz w:val="22"/>
                <w:szCs w:val="22"/>
              </w:rPr>
              <w:t xml:space="preserve"> (e.g., </w:t>
            </w:r>
            <w:r w:rsidRPr="00C01838">
              <w:rPr>
                <w:rFonts w:asciiTheme="minorHAnsi" w:hAnsiTheme="minorHAnsi" w:cs="GillSansMT"/>
                <w:sz w:val="22"/>
                <w:szCs w:val="22"/>
              </w:rPr>
              <w:t xml:space="preserve">12 </w:t>
            </w:r>
            <w:r>
              <w:rPr>
                <w:rFonts w:asciiTheme="minorHAnsi" w:hAnsiTheme="minorHAnsi" w:cs="GillSansMT"/>
                <w:sz w:val="22"/>
                <w:szCs w:val="22"/>
              </w:rPr>
              <w:t>oz. for bee, including pitchers</w:t>
            </w:r>
            <w:r w:rsidRPr="00C01838">
              <w:rPr>
                <w:rFonts w:asciiTheme="minorHAnsi" w:hAnsiTheme="minorHAnsi" w:cs="GillSansMT"/>
                <w:sz w:val="22"/>
                <w:szCs w:val="22"/>
              </w:rPr>
              <w:t xml:space="preserve"> and 5 oz. for wine</w:t>
            </w:r>
            <w:r w:rsidRPr="00C01838">
              <w:rPr>
                <w:rFonts w:asciiTheme="minorHAnsi" w:hAnsiTheme="minorHAnsi"/>
                <w:sz w:val="22"/>
                <w:szCs w:val="22"/>
              </w:rPr>
              <w:t>) are not sold</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Align w:val="center"/>
          </w:tcPr>
          <w:p w:rsidR="008A4415" w:rsidRPr="000D7AF4" w:rsidRDefault="008A4415" w:rsidP="00851C79">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64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8A4415" w:rsidRPr="00C01838" w:rsidRDefault="008A4415" w:rsidP="00420419">
            <w:pPr>
              <w:autoSpaceDE w:val="0"/>
              <w:autoSpaceDN w:val="0"/>
              <w:adjustRightInd w:val="0"/>
              <w:spacing w:after="0" w:line="240" w:lineRule="auto"/>
              <w:rPr>
                <w:rFonts w:cs="GillSansMT"/>
                <w:color w:val="000000"/>
              </w:rPr>
            </w:pPr>
            <w:r w:rsidRPr="002D2C23">
              <w:rPr>
                <w:rFonts w:cs="GillSansMT,BoldItalic"/>
                <w:b/>
                <w:bCs/>
                <w:iCs/>
                <w:color w:val="000000"/>
              </w:rPr>
              <w:t>Offer</w:t>
            </w:r>
            <w:r>
              <w:rPr>
                <w:rFonts w:cs="GillSansMT,BoldItalic"/>
                <w:b/>
                <w:bCs/>
                <w:iCs/>
                <w:color w:val="000000"/>
              </w:rPr>
              <w:t>ing</w:t>
            </w:r>
            <w:r w:rsidRPr="002D2C23">
              <w:rPr>
                <w:rFonts w:cs="GillSansMT,BoldItalic"/>
                <w:b/>
                <w:bCs/>
                <w:iCs/>
                <w:color w:val="000000"/>
              </w:rPr>
              <w:t xml:space="preserve"> </w:t>
            </w:r>
            <w:r>
              <w:rPr>
                <w:rFonts w:cs="GillSansMT,BoldItalic"/>
                <w:b/>
                <w:bCs/>
                <w:iCs/>
                <w:color w:val="000000"/>
              </w:rPr>
              <w:t>f</w:t>
            </w:r>
            <w:r w:rsidRPr="002D2C23">
              <w:rPr>
                <w:rFonts w:cs="GillSansMT,BoldItalic"/>
                <w:b/>
                <w:bCs/>
                <w:iCs/>
                <w:color w:val="000000"/>
              </w:rPr>
              <w:t xml:space="preserve">ood and </w:t>
            </w:r>
            <w:r>
              <w:rPr>
                <w:rFonts w:cs="GillSansMT,BoldItalic"/>
                <w:b/>
                <w:bCs/>
                <w:iCs/>
                <w:color w:val="000000"/>
              </w:rPr>
              <w:t>n</w:t>
            </w:r>
            <w:r w:rsidRPr="002D2C23">
              <w:rPr>
                <w:rFonts w:cs="GillSansMT,BoldItalic"/>
                <w:b/>
                <w:bCs/>
                <w:iCs/>
                <w:color w:val="000000"/>
              </w:rPr>
              <w:t xml:space="preserve">on-alcoholic </w:t>
            </w:r>
            <w:r>
              <w:rPr>
                <w:rFonts w:cs="GillSansMT,BoldItalic"/>
                <w:b/>
                <w:bCs/>
                <w:iCs/>
                <w:color w:val="000000"/>
              </w:rPr>
              <w:t>b</w:t>
            </w:r>
            <w:r w:rsidRPr="002D2C23">
              <w:rPr>
                <w:rFonts w:cs="GillSansMT,BoldItalic"/>
                <w:b/>
                <w:bCs/>
                <w:iCs/>
                <w:color w:val="000000"/>
              </w:rPr>
              <w:t>everages</w:t>
            </w:r>
            <w:r w:rsidRPr="002D2C23">
              <w:rPr>
                <w:rFonts w:cs="GillSansMT"/>
                <w:color w:val="000000"/>
              </w:rPr>
              <w:t xml:space="preserve"> </w:t>
            </w:r>
          </w:p>
        </w:tc>
        <w:tc>
          <w:tcPr>
            <w:tcW w:w="2070" w:type="dxa"/>
          </w:tcPr>
          <w:p w:rsidR="008A4415" w:rsidRPr="00EA1B8D" w:rsidRDefault="008A4415" w:rsidP="00420419">
            <w:pPr>
              <w:pStyle w:val="Defaul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cs="GillSansMT"/>
                <w:sz w:val="22"/>
                <w:szCs w:val="22"/>
              </w:rPr>
              <w:t>There is food sold at the event</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420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Pr="000D7AF4" w:rsidRDefault="008A4415" w:rsidP="00420419">
            <w:pPr>
              <w:autoSpaceDE w:val="0"/>
              <w:autoSpaceDN w:val="0"/>
              <w:adjustRightInd w:val="0"/>
              <w:spacing w:after="0" w:line="240" w:lineRule="auto"/>
              <w:rPr>
                <w:rFonts w:cs="GillSansMT,BoldItalic"/>
                <w:b/>
                <w:bCs/>
                <w:iCs/>
                <w:color w:val="000000"/>
              </w:rPr>
            </w:pPr>
          </w:p>
        </w:tc>
        <w:tc>
          <w:tcPr>
            <w:tcW w:w="2070" w:type="dxa"/>
          </w:tcPr>
          <w:p w:rsidR="008A4415" w:rsidRPr="00EA1B8D" w:rsidRDefault="008A4415" w:rsidP="00420419">
            <w:pPr>
              <w:pStyle w:val="Default"/>
              <w:cnfStyle w:val="000000010000" w:firstRow="0" w:lastRow="0" w:firstColumn="0" w:lastColumn="0" w:oddVBand="0" w:evenVBand="0" w:oddHBand="0" w:evenHBand="1" w:firstRowFirstColumn="0" w:firstRowLastColumn="0" w:lastRowFirstColumn="0" w:lastRowLastColumn="0"/>
              <w:rPr>
                <w:rFonts w:ascii="Calibri" w:hAnsi="Calibri" w:cs="GillSansMT"/>
                <w:sz w:val="22"/>
                <w:szCs w:val="22"/>
              </w:rPr>
            </w:pPr>
            <w:r>
              <w:rPr>
                <w:rFonts w:ascii="Calibri" w:hAnsi="Calibri" w:cs="GillSansMT"/>
                <w:sz w:val="22"/>
                <w:szCs w:val="22"/>
              </w:rPr>
              <w:t>Non-alcoholic beverages are sold at the event</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420419">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420419">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r>
      <w:tr w:rsidR="008A4415" w:rsidRPr="000D7AF4" w:rsidTr="00A51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8A4415" w:rsidRPr="00C01838" w:rsidRDefault="008A4415" w:rsidP="00420419">
            <w:pPr>
              <w:autoSpaceDE w:val="0"/>
              <w:autoSpaceDN w:val="0"/>
              <w:adjustRightInd w:val="0"/>
              <w:spacing w:after="0" w:line="240" w:lineRule="auto"/>
              <w:rPr>
                <w:rFonts w:cs="GillSansMT"/>
                <w:color w:val="000000"/>
              </w:rPr>
            </w:pPr>
            <w:r>
              <w:rPr>
                <w:rFonts w:cs="GillSansMT,BoldItalic"/>
                <w:b/>
                <w:bCs/>
                <w:iCs/>
                <w:color w:val="000000"/>
              </w:rPr>
              <w:t>Preventing p</w:t>
            </w:r>
            <w:r w:rsidRPr="002D2C23">
              <w:rPr>
                <w:rFonts w:cs="GillSansMT,BoldItalic"/>
                <w:b/>
                <w:bCs/>
                <w:iCs/>
                <w:color w:val="000000"/>
              </w:rPr>
              <w:t xml:space="preserve">rice </w:t>
            </w:r>
            <w:r>
              <w:rPr>
                <w:rFonts w:cs="GillSansMT,BoldItalic"/>
                <w:b/>
                <w:bCs/>
                <w:iCs/>
                <w:color w:val="000000"/>
              </w:rPr>
              <w:t>d</w:t>
            </w:r>
            <w:r w:rsidRPr="002D2C23">
              <w:rPr>
                <w:rFonts w:cs="GillSansMT,BoldItalic"/>
                <w:b/>
                <w:bCs/>
                <w:iCs/>
                <w:color w:val="000000"/>
              </w:rPr>
              <w:t xml:space="preserve">iscounting on </w:t>
            </w:r>
            <w:r>
              <w:rPr>
                <w:rFonts w:cs="GillSansMT,BoldItalic"/>
                <w:b/>
                <w:bCs/>
                <w:iCs/>
                <w:color w:val="000000"/>
              </w:rPr>
              <w:t>a</w:t>
            </w:r>
            <w:r w:rsidRPr="002D2C23">
              <w:rPr>
                <w:rFonts w:cs="GillSansMT,BoldItalic"/>
                <w:b/>
                <w:bCs/>
                <w:iCs/>
                <w:color w:val="000000"/>
              </w:rPr>
              <w:t>lcohol</w:t>
            </w:r>
            <w:r w:rsidRPr="002D2C23">
              <w:rPr>
                <w:rFonts w:cs="GillSansMT"/>
                <w:color w:val="000000"/>
              </w:rPr>
              <w:t xml:space="preserve"> </w:t>
            </w:r>
          </w:p>
        </w:tc>
        <w:tc>
          <w:tcPr>
            <w:tcW w:w="2070" w:type="dxa"/>
          </w:tcPr>
          <w:p w:rsidR="008A4415" w:rsidRPr="00C01838" w:rsidRDefault="008A4415" w:rsidP="00C0183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01838">
              <w:rPr>
                <w:rFonts w:asciiTheme="minorHAnsi" w:hAnsiTheme="minorHAnsi"/>
                <w:sz w:val="22"/>
                <w:szCs w:val="22"/>
              </w:rPr>
              <w:t>There are not sales or promotions on alcoholic beverages</w:t>
            </w:r>
          </w:p>
        </w:tc>
        <w:tc>
          <w:tcPr>
            <w:tcW w:w="3043" w:type="dxa"/>
            <w:vAlign w:val="center"/>
          </w:tcPr>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Pr="000D7AF4" w:rsidRDefault="008A4415" w:rsidP="008A441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Not at all</w:t>
            </w:r>
          </w:p>
        </w:tc>
        <w:tc>
          <w:tcPr>
            <w:tcW w:w="3882"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tcW w:w="3883" w:type="dxa"/>
            <w:vMerge w:val="restart"/>
            <w:vAlign w:val="center"/>
          </w:tcPr>
          <w:p w:rsidR="008A4415" w:rsidRPr="000D7AF4" w:rsidRDefault="008A4415" w:rsidP="00851C7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D7AF4" w:rsidTr="00420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rsidR="008A4415" w:rsidRDefault="008A4415" w:rsidP="00420419">
            <w:pPr>
              <w:autoSpaceDE w:val="0"/>
              <w:autoSpaceDN w:val="0"/>
              <w:adjustRightInd w:val="0"/>
              <w:spacing w:after="0" w:line="240" w:lineRule="auto"/>
              <w:rPr>
                <w:rFonts w:cs="GillSansMT,BoldItalic"/>
                <w:b/>
                <w:bCs/>
                <w:iCs/>
                <w:color w:val="000000"/>
              </w:rPr>
            </w:pPr>
          </w:p>
        </w:tc>
        <w:tc>
          <w:tcPr>
            <w:tcW w:w="2070" w:type="dxa"/>
          </w:tcPr>
          <w:p w:rsidR="008A4415" w:rsidRPr="00C01838" w:rsidRDefault="008A4415" w:rsidP="0049751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GillSansMT"/>
                <w:sz w:val="22"/>
                <w:szCs w:val="22"/>
              </w:rPr>
            </w:pPr>
            <w:r w:rsidRPr="00C01838">
              <w:rPr>
                <w:rFonts w:asciiTheme="minorHAnsi" w:hAnsiTheme="minorHAnsi" w:cs="GillSansMT"/>
                <w:sz w:val="22"/>
                <w:szCs w:val="22"/>
              </w:rPr>
              <w:t>Non-alcoholic beverages are less expensive than the least expensive alcoholic beverage</w:t>
            </w:r>
          </w:p>
        </w:tc>
        <w:tc>
          <w:tcPr>
            <w:tcW w:w="3043" w:type="dxa"/>
            <w:vAlign w:val="center"/>
          </w:tcPr>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All of the time</w:t>
            </w:r>
          </w:p>
          <w:p w:rsidR="008A4415" w:rsidRPr="00172AAD"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Some of the time</w:t>
            </w:r>
          </w:p>
          <w:p w:rsidR="008A4415" w:rsidRDefault="008A4415" w:rsidP="008A4415">
            <w:pPr>
              <w:pStyle w:val="Defaul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Pr>
                <w:rFonts w:ascii="Calibri" w:hAnsi="Calibri"/>
                <w:sz w:val="22"/>
                <w:szCs w:val="22"/>
              </w:rPr>
              <w:fldChar w:fldCharType="begin">
                <w:ffData>
                  <w:name w:val="Text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Not at all</w:t>
            </w:r>
          </w:p>
        </w:tc>
        <w:tc>
          <w:tcPr>
            <w:tcW w:w="3882" w:type="dxa"/>
            <w:vMerge/>
          </w:tcPr>
          <w:p w:rsidR="008A4415" w:rsidRPr="000D7AF4" w:rsidRDefault="008A4415" w:rsidP="00420419">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c>
          <w:tcPr>
            <w:tcW w:w="3883" w:type="dxa"/>
            <w:vMerge/>
          </w:tcPr>
          <w:p w:rsidR="008A4415" w:rsidRPr="000D7AF4" w:rsidRDefault="008A4415" w:rsidP="00420419">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GillSansMT,BoldItalic"/>
                <w:b/>
                <w:bCs/>
                <w:iCs/>
                <w:color w:val="000000"/>
              </w:rPr>
            </w:pPr>
          </w:p>
        </w:tc>
      </w:tr>
    </w:tbl>
    <w:p w:rsidR="004A6F73" w:rsidRPr="004A6F73" w:rsidRDefault="001219DB" w:rsidP="001219DB">
      <w:pPr>
        <w:pStyle w:val="Heading2"/>
      </w:pPr>
      <w:r>
        <w:t>Observer perceptions</w:t>
      </w:r>
    </w:p>
    <w:p w:rsidR="00B60FD8" w:rsidRDefault="0066313E" w:rsidP="00B60FD8">
      <w:pPr>
        <w:spacing w:after="0" w:line="240" w:lineRule="auto"/>
      </w:pPr>
      <w:r>
        <w:t xml:space="preserve">Fill in this table using the observation forms.  First, </w:t>
      </w:r>
      <w:r w:rsidR="007861C1">
        <w:t xml:space="preserve">record the </w:t>
      </w:r>
      <w:r w:rsidR="007861C1" w:rsidRPr="00236D2F">
        <w:rPr>
          <w:u w:val="single"/>
        </w:rPr>
        <w:t xml:space="preserve">number of observations </w:t>
      </w:r>
      <w:r w:rsidR="007861C1">
        <w:t xml:space="preserve">endorsed for each level of agreement/disagreement. Then, look at the observations for each event and identify whether all of the observations for a particular event and record </w:t>
      </w:r>
      <w:r w:rsidR="007861C1" w:rsidRPr="00236D2F">
        <w:rPr>
          <w:u w:val="single"/>
        </w:rPr>
        <w:t>the number of events</w:t>
      </w:r>
      <w:r w:rsidR="007861C1">
        <w:t xml:space="preserve"> </w:t>
      </w:r>
      <w:r w:rsidR="007861C1">
        <w:lastRenderedPageBreak/>
        <w:t>for which all “strongly disagree” or “disagree” were marked, all “strongly agree” or “agree” were marked, or a combination of these responses were marked.</w:t>
      </w:r>
    </w:p>
    <w:p w:rsidR="0066313E" w:rsidRPr="00CC6462" w:rsidRDefault="0066313E" w:rsidP="00B60FD8">
      <w:pPr>
        <w:spacing w:after="0" w:line="240" w:lineRule="auto"/>
      </w:pPr>
    </w:p>
    <w:tbl>
      <w:tblPr>
        <w:tblStyle w:val="TableStyle"/>
        <w:tblW w:w="13075" w:type="dxa"/>
        <w:tblLook w:val="01E0" w:firstRow="1" w:lastRow="1" w:firstColumn="1" w:lastColumn="1" w:noHBand="0" w:noVBand="0"/>
      </w:tblPr>
      <w:tblGrid>
        <w:gridCol w:w="4562"/>
        <w:gridCol w:w="1111"/>
        <w:gridCol w:w="1114"/>
        <w:gridCol w:w="1072"/>
        <w:gridCol w:w="1109"/>
        <w:gridCol w:w="1369"/>
        <w:gridCol w:w="1369"/>
        <w:gridCol w:w="1369"/>
      </w:tblGrid>
      <w:tr w:rsidR="0066313E" w:rsidRPr="00B3449F" w:rsidTr="001219D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62" w:type="dxa"/>
            <w:tcBorders>
              <w:bottom w:val="none" w:sz="0" w:space="0" w:color="auto"/>
              <w:right w:val="single" w:sz="4" w:space="0" w:color="auto"/>
            </w:tcBorders>
          </w:tcPr>
          <w:p w:rsidR="0066313E" w:rsidRPr="00B3449F" w:rsidRDefault="0066313E" w:rsidP="00352819">
            <w:pPr>
              <w:spacing w:after="0" w:line="240" w:lineRule="auto"/>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4406" w:type="dxa"/>
            <w:gridSpan w:val="4"/>
            <w:tcBorders>
              <w:left w:val="single" w:sz="4" w:space="0" w:color="auto"/>
              <w:bottom w:val="none" w:sz="0" w:space="0" w:color="auto"/>
              <w:right w:val="single" w:sz="4" w:space="0" w:color="auto"/>
            </w:tcBorders>
          </w:tcPr>
          <w:p w:rsidR="0066313E" w:rsidRPr="00B3449F" w:rsidRDefault="0066313E" w:rsidP="00352819">
            <w:pPr>
              <w:spacing w:after="0" w:line="240" w:lineRule="auto"/>
              <w:rPr>
                <w:rFonts w:ascii="Arial" w:hAnsi="Arial" w:cs="Arial"/>
                <w:sz w:val="20"/>
                <w:szCs w:val="20"/>
              </w:rPr>
            </w:pPr>
            <w:r>
              <w:rPr>
                <w:rFonts w:ascii="Arial" w:hAnsi="Arial" w:cs="Arial"/>
                <w:sz w:val="20"/>
                <w:szCs w:val="20"/>
              </w:rPr>
              <w:t>Number of observations</w:t>
            </w:r>
          </w:p>
        </w:tc>
        <w:tc>
          <w:tcPr>
            <w:cnfStyle w:val="000001000000" w:firstRow="0" w:lastRow="0" w:firstColumn="0" w:lastColumn="0" w:oddVBand="0" w:evenVBand="1" w:oddHBand="0" w:evenHBand="0" w:firstRowFirstColumn="0" w:firstRowLastColumn="0" w:lastRowFirstColumn="0" w:lastRowLastColumn="0"/>
            <w:tcW w:w="4107" w:type="dxa"/>
            <w:gridSpan w:val="3"/>
            <w:tcBorders>
              <w:left w:val="single" w:sz="4" w:space="0" w:color="auto"/>
              <w:bottom w:val="none" w:sz="0" w:space="0" w:color="auto"/>
            </w:tcBorders>
          </w:tcPr>
          <w:p w:rsidR="0066313E" w:rsidRPr="00B3449F" w:rsidRDefault="0066313E" w:rsidP="00352819">
            <w:pPr>
              <w:spacing w:after="0" w:line="240" w:lineRule="auto"/>
              <w:rPr>
                <w:rFonts w:ascii="Arial" w:hAnsi="Arial" w:cs="Arial"/>
                <w:sz w:val="20"/>
                <w:szCs w:val="20"/>
              </w:rPr>
            </w:pPr>
            <w:r>
              <w:rPr>
                <w:rFonts w:ascii="Arial" w:hAnsi="Arial" w:cs="Arial"/>
                <w:sz w:val="20"/>
                <w:szCs w:val="20"/>
              </w:rPr>
              <w:t>Number of events</w:t>
            </w:r>
          </w:p>
        </w:tc>
      </w:tr>
      <w:tr w:rsidR="001219DB" w:rsidRPr="0066313E" w:rsidTr="001219D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62" w:type="dxa"/>
            <w:tcBorders>
              <w:bottom w:val="single" w:sz="4" w:space="0" w:color="auto"/>
              <w:right w:val="single" w:sz="4" w:space="0" w:color="auto"/>
            </w:tcBorders>
          </w:tcPr>
          <w:p w:rsidR="0066313E" w:rsidRPr="0066313E" w:rsidRDefault="0066313E" w:rsidP="00352819">
            <w:pPr>
              <w:spacing w:after="0" w:line="240" w:lineRule="auto"/>
              <w:rPr>
                <w:rFonts w:ascii="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111" w:type="dxa"/>
            <w:tcBorders>
              <w:left w:val="single" w:sz="4" w:space="0" w:color="auto"/>
              <w:bottom w:val="single" w:sz="4" w:space="0" w:color="auto"/>
            </w:tcBorders>
            <w:vAlign w:val="center"/>
          </w:tcPr>
          <w:p w:rsidR="0066313E" w:rsidRPr="0066313E" w:rsidRDefault="0066313E" w:rsidP="001219DB">
            <w:pPr>
              <w:spacing w:after="0" w:line="240" w:lineRule="auto"/>
              <w:rPr>
                <w:rFonts w:ascii="Arial" w:hAnsi="Arial" w:cs="Arial"/>
                <w:b/>
                <w:sz w:val="20"/>
                <w:szCs w:val="20"/>
              </w:rPr>
            </w:pPr>
            <w:r w:rsidRPr="0066313E">
              <w:rPr>
                <w:rFonts w:ascii="Arial" w:hAnsi="Arial" w:cs="Arial"/>
                <w:b/>
                <w:sz w:val="20"/>
                <w:szCs w:val="20"/>
              </w:rPr>
              <w:t>Strongly disagree</w:t>
            </w:r>
          </w:p>
        </w:tc>
        <w:tc>
          <w:tcPr>
            <w:cnfStyle w:val="000001000000" w:firstRow="0" w:lastRow="0" w:firstColumn="0" w:lastColumn="0" w:oddVBand="0" w:evenVBand="1" w:oddHBand="0" w:evenHBand="0" w:firstRowFirstColumn="0" w:firstRowLastColumn="0" w:lastRowFirstColumn="0" w:lastRowLastColumn="0"/>
            <w:tcW w:w="1114" w:type="dxa"/>
            <w:tcBorders>
              <w:bottom w:val="single" w:sz="4" w:space="0" w:color="auto"/>
            </w:tcBorders>
            <w:vAlign w:val="center"/>
          </w:tcPr>
          <w:p w:rsidR="0066313E" w:rsidRPr="0066313E" w:rsidRDefault="0066313E" w:rsidP="001219DB">
            <w:pPr>
              <w:spacing w:after="0" w:line="240" w:lineRule="auto"/>
              <w:rPr>
                <w:rFonts w:ascii="Arial" w:hAnsi="Arial" w:cs="Arial"/>
                <w:b/>
                <w:sz w:val="20"/>
                <w:szCs w:val="20"/>
              </w:rPr>
            </w:pPr>
            <w:r w:rsidRPr="0066313E">
              <w:rPr>
                <w:rFonts w:ascii="Arial" w:hAnsi="Arial" w:cs="Arial"/>
                <w:b/>
                <w:sz w:val="20"/>
                <w:szCs w:val="20"/>
              </w:rPr>
              <w:t>Disagree</w:t>
            </w:r>
          </w:p>
        </w:tc>
        <w:tc>
          <w:tcPr>
            <w:cnfStyle w:val="000010000000" w:firstRow="0" w:lastRow="0" w:firstColumn="0" w:lastColumn="0" w:oddVBand="1" w:evenVBand="0" w:oddHBand="0" w:evenHBand="0" w:firstRowFirstColumn="0" w:firstRowLastColumn="0" w:lastRowFirstColumn="0" w:lastRowLastColumn="0"/>
            <w:tcW w:w="1072" w:type="dxa"/>
            <w:tcBorders>
              <w:bottom w:val="single" w:sz="4" w:space="0" w:color="auto"/>
            </w:tcBorders>
            <w:vAlign w:val="center"/>
          </w:tcPr>
          <w:p w:rsidR="0066313E" w:rsidRPr="0066313E" w:rsidRDefault="0066313E" w:rsidP="001219DB">
            <w:pPr>
              <w:spacing w:after="0" w:line="240" w:lineRule="auto"/>
              <w:rPr>
                <w:rFonts w:ascii="Arial" w:hAnsi="Arial" w:cs="Arial"/>
                <w:b/>
                <w:sz w:val="20"/>
                <w:szCs w:val="20"/>
              </w:rPr>
            </w:pPr>
            <w:r w:rsidRPr="0066313E">
              <w:rPr>
                <w:rFonts w:ascii="Arial" w:hAnsi="Arial" w:cs="Arial"/>
                <w:b/>
                <w:sz w:val="20"/>
                <w:szCs w:val="20"/>
              </w:rPr>
              <w:t>Agree</w:t>
            </w:r>
          </w:p>
        </w:tc>
        <w:tc>
          <w:tcPr>
            <w:cnfStyle w:val="000001000000" w:firstRow="0" w:lastRow="0" w:firstColumn="0" w:lastColumn="0" w:oddVBand="0" w:evenVBand="1" w:oddHBand="0" w:evenHBand="0" w:firstRowFirstColumn="0" w:firstRowLastColumn="0" w:lastRowFirstColumn="0" w:lastRowLastColumn="0"/>
            <w:tcW w:w="1109" w:type="dxa"/>
            <w:tcBorders>
              <w:bottom w:val="single" w:sz="4" w:space="0" w:color="auto"/>
              <w:right w:val="single" w:sz="4" w:space="0" w:color="auto"/>
            </w:tcBorders>
            <w:vAlign w:val="center"/>
          </w:tcPr>
          <w:p w:rsidR="0066313E" w:rsidRPr="0066313E" w:rsidRDefault="0066313E" w:rsidP="001219DB">
            <w:pPr>
              <w:spacing w:after="0" w:line="240" w:lineRule="auto"/>
              <w:rPr>
                <w:rFonts w:ascii="Arial" w:hAnsi="Arial" w:cs="Arial"/>
                <w:b/>
                <w:sz w:val="20"/>
                <w:szCs w:val="20"/>
              </w:rPr>
            </w:pPr>
            <w:r w:rsidRPr="0066313E">
              <w:rPr>
                <w:rFonts w:ascii="Arial" w:hAnsi="Arial" w:cs="Arial"/>
                <w:b/>
                <w:sz w:val="20"/>
                <w:szCs w:val="20"/>
              </w:rPr>
              <w:t>Strongly agree</w:t>
            </w:r>
          </w:p>
        </w:tc>
        <w:tc>
          <w:tcPr>
            <w:cnfStyle w:val="000010000000" w:firstRow="0" w:lastRow="0" w:firstColumn="0" w:lastColumn="0" w:oddVBand="1" w:evenVBand="0" w:oddHBand="0" w:evenHBand="0" w:firstRowFirstColumn="0" w:firstRowLastColumn="0" w:lastRowFirstColumn="0" w:lastRowLastColumn="0"/>
            <w:tcW w:w="1369" w:type="dxa"/>
            <w:tcBorders>
              <w:left w:val="single" w:sz="4" w:space="0" w:color="auto"/>
              <w:bottom w:val="single" w:sz="4" w:space="0" w:color="auto"/>
            </w:tcBorders>
            <w:vAlign w:val="center"/>
          </w:tcPr>
          <w:p w:rsidR="0066313E" w:rsidRPr="0066313E" w:rsidRDefault="00D80694" w:rsidP="00D869E9">
            <w:pPr>
              <w:spacing w:after="0" w:line="240" w:lineRule="auto"/>
              <w:rPr>
                <w:rFonts w:ascii="Arial" w:hAnsi="Arial" w:cs="Arial"/>
                <w:b/>
                <w:sz w:val="20"/>
                <w:szCs w:val="20"/>
              </w:rPr>
            </w:pPr>
            <w:r>
              <w:rPr>
                <w:rFonts w:ascii="Arial" w:hAnsi="Arial" w:cs="Arial"/>
                <w:b/>
                <w:sz w:val="20"/>
                <w:szCs w:val="20"/>
              </w:rPr>
              <w:t>All s</w:t>
            </w:r>
            <w:r w:rsidR="001219DB">
              <w:rPr>
                <w:rFonts w:ascii="Arial" w:hAnsi="Arial" w:cs="Arial"/>
                <w:b/>
                <w:sz w:val="20"/>
                <w:szCs w:val="20"/>
              </w:rPr>
              <w:t xml:space="preserve">trongly disagree/ </w:t>
            </w:r>
            <w:r w:rsidR="00D869E9">
              <w:rPr>
                <w:rFonts w:ascii="Arial" w:hAnsi="Arial" w:cs="Arial"/>
                <w:b/>
                <w:sz w:val="20"/>
                <w:szCs w:val="20"/>
              </w:rPr>
              <w:t>d</w:t>
            </w:r>
            <w:r w:rsidR="001219DB">
              <w:rPr>
                <w:rFonts w:ascii="Arial" w:hAnsi="Arial" w:cs="Arial"/>
                <w:b/>
                <w:sz w:val="20"/>
                <w:szCs w:val="20"/>
              </w:rPr>
              <w:t>isagree</w:t>
            </w:r>
          </w:p>
        </w:tc>
        <w:tc>
          <w:tcPr>
            <w:cnfStyle w:val="000001000000" w:firstRow="0" w:lastRow="0" w:firstColumn="0" w:lastColumn="0" w:oddVBand="0" w:evenVBand="1" w:oddHBand="0" w:evenHBand="0" w:firstRowFirstColumn="0" w:firstRowLastColumn="0" w:lastRowFirstColumn="0" w:lastRowLastColumn="0"/>
            <w:tcW w:w="1369" w:type="dxa"/>
            <w:tcBorders>
              <w:bottom w:val="single" w:sz="4" w:space="0" w:color="auto"/>
            </w:tcBorders>
            <w:vAlign w:val="center"/>
          </w:tcPr>
          <w:p w:rsidR="0066313E" w:rsidRPr="0066313E" w:rsidRDefault="001219DB" w:rsidP="001219DB">
            <w:pPr>
              <w:spacing w:after="0" w:line="240" w:lineRule="auto"/>
              <w:rPr>
                <w:rFonts w:ascii="Arial" w:hAnsi="Arial" w:cs="Arial"/>
                <w:b/>
                <w:sz w:val="20"/>
                <w:szCs w:val="20"/>
              </w:rPr>
            </w:pPr>
            <w:r>
              <w:rPr>
                <w:rFonts w:ascii="Arial" w:hAnsi="Arial" w:cs="Arial"/>
                <w:b/>
                <w:sz w:val="20"/>
                <w:szCs w:val="20"/>
              </w:rPr>
              <w:t>Both agree and disagree</w:t>
            </w:r>
          </w:p>
        </w:tc>
        <w:tc>
          <w:tcPr>
            <w:cnfStyle w:val="000010000000" w:firstRow="0" w:lastRow="0" w:firstColumn="0" w:lastColumn="0" w:oddVBand="1" w:evenVBand="0" w:oddHBand="0" w:evenHBand="0" w:firstRowFirstColumn="0" w:firstRowLastColumn="0" w:lastRowFirstColumn="0" w:lastRowLastColumn="0"/>
            <w:tcW w:w="1369" w:type="dxa"/>
            <w:tcBorders>
              <w:bottom w:val="single" w:sz="4" w:space="0" w:color="auto"/>
            </w:tcBorders>
            <w:vAlign w:val="center"/>
          </w:tcPr>
          <w:p w:rsidR="0066313E" w:rsidRPr="0066313E" w:rsidRDefault="00D80694" w:rsidP="00D869E9">
            <w:pPr>
              <w:spacing w:after="0" w:line="240" w:lineRule="auto"/>
              <w:rPr>
                <w:rFonts w:ascii="Arial" w:hAnsi="Arial" w:cs="Arial"/>
                <w:b/>
                <w:sz w:val="20"/>
                <w:szCs w:val="20"/>
              </w:rPr>
            </w:pPr>
            <w:r>
              <w:rPr>
                <w:rFonts w:ascii="Arial" w:hAnsi="Arial" w:cs="Arial"/>
                <w:b/>
                <w:sz w:val="20"/>
                <w:szCs w:val="20"/>
              </w:rPr>
              <w:t>All s</w:t>
            </w:r>
            <w:r w:rsidR="001219DB">
              <w:rPr>
                <w:rFonts w:ascii="Arial" w:hAnsi="Arial" w:cs="Arial"/>
                <w:b/>
                <w:sz w:val="20"/>
                <w:szCs w:val="20"/>
              </w:rPr>
              <w:t xml:space="preserve">trongly agree/ </w:t>
            </w:r>
            <w:r w:rsidR="00D869E9">
              <w:rPr>
                <w:rFonts w:ascii="Arial" w:hAnsi="Arial" w:cs="Arial"/>
                <w:b/>
                <w:sz w:val="20"/>
                <w:szCs w:val="20"/>
              </w:rPr>
              <w:t>a</w:t>
            </w:r>
            <w:r w:rsidR="001219DB">
              <w:rPr>
                <w:rFonts w:ascii="Arial" w:hAnsi="Arial" w:cs="Arial"/>
                <w:b/>
                <w:sz w:val="20"/>
                <w:szCs w:val="20"/>
              </w:rPr>
              <w:t>gree</w:t>
            </w:r>
          </w:p>
        </w:tc>
      </w:tr>
      <w:tr w:rsidR="008A4415" w:rsidRPr="00B3449F" w:rsidTr="00D1418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62" w:type="dxa"/>
            <w:tcBorders>
              <w:top w:val="single" w:sz="4" w:space="0" w:color="auto"/>
              <w:right w:val="single" w:sz="4" w:space="0" w:color="auto"/>
            </w:tcBorders>
          </w:tcPr>
          <w:p w:rsidR="008A4415" w:rsidRPr="00B60FD8" w:rsidRDefault="008A4415" w:rsidP="00B60FD8">
            <w:pPr>
              <w:autoSpaceDE w:val="0"/>
              <w:autoSpaceDN w:val="0"/>
              <w:adjustRightInd w:val="0"/>
              <w:spacing w:after="0" w:line="240" w:lineRule="auto"/>
              <w:rPr>
                <w:rFonts w:cs="Arial,Bold"/>
              </w:rPr>
            </w:pPr>
            <w:r w:rsidRPr="00B60FD8">
              <w:rPr>
                <w:rFonts w:cs="Arial,Bold"/>
              </w:rPr>
              <w:t xml:space="preserve">Alcohol is a big part of this event. </w:t>
            </w:r>
          </w:p>
        </w:tc>
        <w:tc>
          <w:tcPr>
            <w:cnfStyle w:val="000010000000" w:firstRow="0" w:lastRow="0" w:firstColumn="0" w:lastColumn="0" w:oddVBand="1" w:evenVBand="0" w:oddHBand="0" w:evenHBand="0" w:firstRowFirstColumn="0" w:firstRowLastColumn="0" w:lastRowFirstColumn="0" w:lastRowLastColumn="0"/>
            <w:tcW w:w="1111" w:type="dxa"/>
            <w:tcBorders>
              <w:top w:val="single" w:sz="4" w:space="0" w:color="auto"/>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14" w:type="dxa"/>
            <w:tcBorders>
              <w:top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072" w:type="dxa"/>
            <w:tcBorders>
              <w:top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09" w:type="dxa"/>
            <w:tcBorders>
              <w:top w:val="single" w:sz="4" w:space="0" w:color="auto"/>
              <w:righ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top w:val="single" w:sz="4" w:space="0" w:color="auto"/>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369" w:type="dxa"/>
            <w:tcBorders>
              <w:top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top w:val="single" w:sz="4" w:space="0" w:color="auto"/>
            </w:tcBorders>
          </w:tcPr>
          <w:p w:rsidR="008A4415" w:rsidRPr="00B60FD8" w:rsidRDefault="008A4415" w:rsidP="00352819">
            <w:pPr>
              <w:spacing w:after="0" w:line="240" w:lineRule="auto"/>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B3449F" w:rsidTr="008A441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62" w:type="dxa"/>
            <w:tcBorders>
              <w:right w:val="single" w:sz="4" w:space="0" w:color="auto"/>
            </w:tcBorders>
          </w:tcPr>
          <w:p w:rsidR="008A4415" w:rsidRPr="00B60FD8" w:rsidRDefault="008A4415" w:rsidP="00B60FD8">
            <w:pPr>
              <w:autoSpaceDE w:val="0"/>
              <w:autoSpaceDN w:val="0"/>
              <w:adjustRightInd w:val="0"/>
              <w:spacing w:before="40" w:after="40" w:line="240" w:lineRule="auto"/>
            </w:pPr>
            <w:r w:rsidRPr="00B60FD8">
              <w:t xml:space="preserve">It would be easy for someone under 21 to consume alcohol at this event.   </w:t>
            </w:r>
          </w:p>
        </w:tc>
        <w:tc>
          <w:tcPr>
            <w:cnfStyle w:val="000010000000" w:firstRow="0" w:lastRow="0" w:firstColumn="0" w:lastColumn="0" w:oddVBand="1" w:evenVBand="0" w:oddHBand="0" w:evenHBand="0" w:firstRowFirstColumn="0" w:firstRowLastColumn="0" w:lastRowFirstColumn="0" w:lastRowLastColumn="0"/>
            <w:tcW w:w="1111" w:type="dxa"/>
            <w:tcBorders>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14"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072"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09" w:type="dxa"/>
            <w:tcBorders>
              <w:righ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left w:val="single" w:sz="4" w:space="0" w:color="auto"/>
            </w:tcBorders>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369" w:type="dxa"/>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vAlign w:val="center"/>
          </w:tcPr>
          <w:p w:rsidR="008A4415" w:rsidRPr="00B60FD8" w:rsidRDefault="008A4415" w:rsidP="008A4415">
            <w:pPr>
              <w:spacing w:after="0" w:line="240" w:lineRule="auto"/>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B3449F" w:rsidTr="008A441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62" w:type="dxa"/>
            <w:tcBorders>
              <w:right w:val="single" w:sz="4" w:space="0" w:color="auto"/>
            </w:tcBorders>
          </w:tcPr>
          <w:p w:rsidR="008A4415" w:rsidRPr="00B60FD8" w:rsidRDefault="008A4415" w:rsidP="00B60FD8">
            <w:pPr>
              <w:autoSpaceDE w:val="0"/>
              <w:autoSpaceDN w:val="0"/>
              <w:adjustRightInd w:val="0"/>
              <w:spacing w:before="40" w:after="40" w:line="240" w:lineRule="auto"/>
              <w:rPr>
                <w:rFonts w:cs="Arial,Bold"/>
              </w:rPr>
            </w:pPr>
            <w:r w:rsidRPr="00B60FD8">
              <w:t xml:space="preserve">There are people under 21 consuming alcohol at this event.   </w:t>
            </w:r>
          </w:p>
        </w:tc>
        <w:tc>
          <w:tcPr>
            <w:cnfStyle w:val="000010000000" w:firstRow="0" w:lastRow="0" w:firstColumn="0" w:lastColumn="0" w:oddVBand="1" w:evenVBand="0" w:oddHBand="0" w:evenHBand="0" w:firstRowFirstColumn="0" w:firstRowLastColumn="0" w:lastRowFirstColumn="0" w:lastRowLastColumn="0"/>
            <w:tcW w:w="1111" w:type="dxa"/>
            <w:tcBorders>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14"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072"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09" w:type="dxa"/>
            <w:tcBorders>
              <w:righ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left w:val="single" w:sz="4" w:space="0" w:color="auto"/>
            </w:tcBorders>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369" w:type="dxa"/>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vAlign w:val="center"/>
          </w:tcPr>
          <w:p w:rsidR="008A4415" w:rsidRPr="00B60FD8" w:rsidRDefault="008A4415" w:rsidP="008A4415">
            <w:pPr>
              <w:spacing w:after="0" w:line="240" w:lineRule="auto"/>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B3449F" w:rsidTr="008A441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62" w:type="dxa"/>
            <w:tcBorders>
              <w:right w:val="single" w:sz="4" w:space="0" w:color="auto"/>
            </w:tcBorders>
          </w:tcPr>
          <w:p w:rsidR="008A4415" w:rsidRPr="00B60FD8" w:rsidRDefault="008A4415" w:rsidP="00B60FD8">
            <w:pPr>
              <w:spacing w:before="40" w:after="40" w:line="240" w:lineRule="auto"/>
              <w:rPr>
                <w:rFonts w:cs="Arial"/>
              </w:rPr>
            </w:pPr>
            <w:r w:rsidRPr="00B60FD8">
              <w:rPr>
                <w:rFonts w:cs="Arial"/>
              </w:rPr>
              <w:t>There are obviously intoxicated people at this event.</w:t>
            </w:r>
          </w:p>
        </w:tc>
        <w:tc>
          <w:tcPr>
            <w:cnfStyle w:val="000010000000" w:firstRow="0" w:lastRow="0" w:firstColumn="0" w:lastColumn="0" w:oddVBand="1" w:evenVBand="0" w:oddHBand="0" w:evenHBand="0" w:firstRowFirstColumn="0" w:firstRowLastColumn="0" w:lastRowFirstColumn="0" w:lastRowLastColumn="0"/>
            <w:tcW w:w="1111" w:type="dxa"/>
            <w:tcBorders>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14"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072"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09" w:type="dxa"/>
            <w:tcBorders>
              <w:righ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left w:val="single" w:sz="4" w:space="0" w:color="auto"/>
            </w:tcBorders>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369" w:type="dxa"/>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vAlign w:val="center"/>
          </w:tcPr>
          <w:p w:rsidR="008A4415" w:rsidRPr="00B60FD8" w:rsidRDefault="008A4415" w:rsidP="008A4415">
            <w:pPr>
              <w:spacing w:after="0" w:line="240" w:lineRule="auto"/>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B3449F" w:rsidTr="008A441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62" w:type="dxa"/>
            <w:tcBorders>
              <w:right w:val="single" w:sz="4" w:space="0" w:color="auto"/>
            </w:tcBorders>
          </w:tcPr>
          <w:p w:rsidR="008A4415" w:rsidRPr="00B60FD8" w:rsidRDefault="008A4415" w:rsidP="00B60FD8">
            <w:pPr>
              <w:spacing w:before="40" w:after="40" w:line="240" w:lineRule="auto"/>
              <w:rPr>
                <w:rFonts w:cs="Arial"/>
              </w:rPr>
            </w:pPr>
            <w:r w:rsidRPr="00B60FD8">
              <w:t xml:space="preserve">There are enough restrictions at this event to prevent people from getting too drunk. </w:t>
            </w:r>
          </w:p>
        </w:tc>
        <w:tc>
          <w:tcPr>
            <w:cnfStyle w:val="000010000000" w:firstRow="0" w:lastRow="0" w:firstColumn="0" w:lastColumn="0" w:oddVBand="1" w:evenVBand="0" w:oddHBand="0" w:evenHBand="0" w:firstRowFirstColumn="0" w:firstRowLastColumn="0" w:lastRowFirstColumn="0" w:lastRowLastColumn="0"/>
            <w:tcW w:w="1111" w:type="dxa"/>
            <w:tcBorders>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14"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072"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09" w:type="dxa"/>
            <w:tcBorders>
              <w:righ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left w:val="single" w:sz="4" w:space="0" w:color="auto"/>
            </w:tcBorders>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369" w:type="dxa"/>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vAlign w:val="center"/>
          </w:tcPr>
          <w:p w:rsidR="008A4415" w:rsidRPr="00B60FD8" w:rsidRDefault="008A4415" w:rsidP="008A4415">
            <w:pPr>
              <w:spacing w:after="0" w:line="240" w:lineRule="auto"/>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r w:rsidR="008A4415" w:rsidRPr="00047672" w:rsidTr="008A4415">
        <w:trPr>
          <w:cnfStyle w:val="010000000000" w:firstRow="0" w:lastRow="1" w:firstColumn="0" w:lastColumn="0" w:oddVBand="0" w:evenVBand="0" w:oddHBand="0" w:evenHBand="0" w:firstRowFirstColumn="0" w:firstRowLastColumn="0" w:lastRowFirstColumn="0" w:lastRowLastColumn="0"/>
          <w:trHeight w:val="349"/>
        </w:trPr>
        <w:tc>
          <w:tcPr>
            <w:cnfStyle w:val="001000000001" w:firstRow="0" w:lastRow="0" w:firstColumn="1" w:lastColumn="0" w:oddVBand="0" w:evenVBand="0" w:oddHBand="0" w:evenHBand="0" w:firstRowFirstColumn="0" w:firstRowLastColumn="0" w:lastRowFirstColumn="1" w:lastRowLastColumn="0"/>
            <w:tcW w:w="4562" w:type="dxa"/>
            <w:tcBorders>
              <w:right w:val="single" w:sz="4" w:space="0" w:color="auto"/>
            </w:tcBorders>
          </w:tcPr>
          <w:p w:rsidR="008A4415" w:rsidRPr="00B60FD8" w:rsidRDefault="008A4415" w:rsidP="00B60FD8">
            <w:pPr>
              <w:spacing w:before="40" w:after="40" w:line="240" w:lineRule="auto"/>
            </w:pPr>
            <w:r w:rsidRPr="00B60FD8">
              <w:t xml:space="preserve">There are a lot of activities at this event that do not involve alcohol. </w:t>
            </w:r>
          </w:p>
        </w:tc>
        <w:tc>
          <w:tcPr>
            <w:cnfStyle w:val="000010000000" w:firstRow="0" w:lastRow="0" w:firstColumn="0" w:lastColumn="0" w:oddVBand="1" w:evenVBand="0" w:oddHBand="0" w:evenHBand="0" w:firstRowFirstColumn="0" w:firstRowLastColumn="0" w:lastRowFirstColumn="0" w:lastRowLastColumn="0"/>
            <w:tcW w:w="1111" w:type="dxa"/>
            <w:tcBorders>
              <w:lef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14"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072" w:type="dxa"/>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109" w:type="dxa"/>
            <w:tcBorders>
              <w:right w:val="single" w:sz="4" w:space="0" w:color="auto"/>
            </w:tcBorders>
            <w:vAlign w:val="center"/>
          </w:tcPr>
          <w:p w:rsidR="008A4415" w:rsidRPr="000D7AF4" w:rsidRDefault="008A4415" w:rsidP="00851C79">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tcBorders>
              <w:left w:val="single" w:sz="4" w:space="0" w:color="auto"/>
            </w:tcBorders>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6"/>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01000000" w:firstRow="0" w:lastRow="0" w:firstColumn="0" w:lastColumn="0" w:oddVBand="0" w:evenVBand="1" w:oddHBand="0" w:evenHBand="0" w:firstRowFirstColumn="0" w:firstRowLastColumn="0" w:lastRowFirstColumn="0" w:lastRowLastColumn="0"/>
            <w:tcW w:w="1369" w:type="dxa"/>
            <w:vAlign w:val="center"/>
          </w:tcPr>
          <w:p w:rsidR="008A4415" w:rsidRPr="000D7AF4" w:rsidRDefault="008A4415" w:rsidP="008A4415">
            <w:pPr>
              <w:autoSpaceDE w:val="0"/>
              <w:autoSpaceDN w:val="0"/>
              <w:adjustRightInd w:val="0"/>
              <w:spacing w:after="0" w:line="240" w:lineRule="auto"/>
              <w:rPr>
                <w:rFonts w:cs="GillSansMT,BoldItalic"/>
                <w:b/>
                <w:bCs/>
                <w:iCs/>
                <w:color w:val="000000"/>
              </w:rPr>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c>
          <w:tcPr>
            <w:cnfStyle w:val="000010000000" w:firstRow="0" w:lastRow="0" w:firstColumn="0" w:lastColumn="0" w:oddVBand="1" w:evenVBand="0" w:oddHBand="0" w:evenHBand="0" w:firstRowFirstColumn="0" w:firstRowLastColumn="0" w:lastRowFirstColumn="0" w:lastRowLastColumn="0"/>
            <w:tcW w:w="1369" w:type="dxa"/>
            <w:vAlign w:val="center"/>
          </w:tcPr>
          <w:p w:rsidR="008A4415" w:rsidRPr="00B60FD8" w:rsidRDefault="008A4415" w:rsidP="008A4415">
            <w:pPr>
              <w:spacing w:after="0" w:line="240" w:lineRule="auto"/>
            </w:pPr>
            <w:r>
              <w:rPr>
                <w:rFonts w:cs="GillSansMT,BoldItalic"/>
                <w:b/>
                <w:bCs/>
                <w:iCs/>
                <w:color w:val="000000"/>
              </w:rPr>
              <w:fldChar w:fldCharType="begin">
                <w:ffData>
                  <w:name w:val="Text7"/>
                  <w:enabled/>
                  <w:calcOnExit w:val="0"/>
                  <w:textInput/>
                </w:ffData>
              </w:fldChar>
            </w:r>
            <w:r>
              <w:rPr>
                <w:rFonts w:cs="GillSansMT,BoldItalic"/>
                <w:b/>
                <w:bCs/>
                <w:iCs/>
                <w:color w:val="000000"/>
              </w:rPr>
              <w:instrText xml:space="preserve"> FORMTEXT </w:instrText>
            </w:r>
            <w:r>
              <w:rPr>
                <w:rFonts w:cs="GillSansMT,BoldItalic"/>
                <w:b/>
                <w:bCs/>
                <w:iCs/>
                <w:color w:val="000000"/>
              </w:rPr>
            </w:r>
            <w:r>
              <w:rPr>
                <w:rFonts w:cs="GillSansMT,BoldItalic"/>
                <w:b/>
                <w:bCs/>
                <w:iCs/>
                <w:color w:val="000000"/>
              </w:rPr>
              <w:fldChar w:fldCharType="separate"/>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noProof/>
                <w:color w:val="000000"/>
              </w:rPr>
              <w:t> </w:t>
            </w:r>
            <w:r>
              <w:rPr>
                <w:rFonts w:cs="GillSansMT,BoldItalic"/>
                <w:b/>
                <w:bCs/>
                <w:iCs/>
                <w:color w:val="000000"/>
              </w:rPr>
              <w:fldChar w:fldCharType="end"/>
            </w:r>
          </w:p>
        </w:tc>
      </w:tr>
    </w:tbl>
    <w:p w:rsidR="00B60FD8" w:rsidRDefault="00B60FD8" w:rsidP="00B60FD8">
      <w:pPr>
        <w:pStyle w:val="Heading2"/>
      </w:pPr>
      <w:r>
        <w:t>Overall comments</w:t>
      </w:r>
    </w:p>
    <w:p w:rsidR="001219DB" w:rsidRPr="001219DB" w:rsidRDefault="001219DB" w:rsidP="001219DB">
      <w:pPr>
        <w:pStyle w:val="BodyText"/>
      </w:pPr>
      <w:r>
        <w:t xml:space="preserve">Using all of the results above, please identify the most common best practices the community is implementing well and the most common best practices for which the community could use additional assistance.  </w:t>
      </w:r>
    </w:p>
    <w:p w:rsidR="00B60FD8" w:rsidRDefault="00B60FD8" w:rsidP="00EA2EF6">
      <w:pPr>
        <w:pStyle w:val="Heading3"/>
        <w:spacing w:after="0"/>
      </w:pPr>
      <w:r>
        <w:t xml:space="preserve">Best practices this community </w:t>
      </w:r>
      <w:r w:rsidR="00EF053A">
        <w:t>implements</w:t>
      </w:r>
      <w:r>
        <w:t xml:space="preserve"> well: </w:t>
      </w:r>
      <w:r w:rsidR="008A4415">
        <w:fldChar w:fldCharType="begin">
          <w:ffData>
            <w:name w:val="Text8"/>
            <w:enabled/>
            <w:calcOnExit w:val="0"/>
            <w:textInput/>
          </w:ffData>
        </w:fldChar>
      </w:r>
      <w:bookmarkStart w:id="8" w:name="Text8"/>
      <w:r w:rsidR="008A4415">
        <w:instrText xml:space="preserve"> FORMTEXT </w:instrText>
      </w:r>
      <w:r w:rsidR="008A4415">
        <w:fldChar w:fldCharType="separate"/>
      </w:r>
      <w:r w:rsidR="008A4415">
        <w:rPr>
          <w:noProof/>
        </w:rPr>
        <w:t> </w:t>
      </w:r>
      <w:r w:rsidR="008A4415">
        <w:rPr>
          <w:noProof/>
        </w:rPr>
        <w:t> </w:t>
      </w:r>
      <w:r w:rsidR="008A4415">
        <w:rPr>
          <w:noProof/>
        </w:rPr>
        <w:t> </w:t>
      </w:r>
      <w:r w:rsidR="008A4415">
        <w:rPr>
          <w:noProof/>
        </w:rPr>
        <w:t> </w:t>
      </w:r>
      <w:r w:rsidR="008A4415">
        <w:rPr>
          <w:noProof/>
        </w:rPr>
        <w:t> </w:t>
      </w:r>
      <w:r w:rsidR="008A4415">
        <w:fldChar w:fldCharType="end"/>
      </w:r>
      <w:bookmarkEnd w:id="8"/>
    </w:p>
    <w:p w:rsidR="00B60FD8" w:rsidRDefault="00B60FD8" w:rsidP="00EA2EF6">
      <w:pPr>
        <w:pStyle w:val="Heading3"/>
        <w:spacing w:after="0"/>
      </w:pPr>
      <w:r>
        <w:t xml:space="preserve">Best practices </w:t>
      </w:r>
      <w:r w:rsidR="0066313E">
        <w:t>with which this</w:t>
      </w:r>
      <w:r>
        <w:t xml:space="preserve"> community could use more assistance: </w:t>
      </w:r>
      <w:r w:rsidR="008A4415">
        <w:fldChar w:fldCharType="begin">
          <w:ffData>
            <w:name w:val="Text9"/>
            <w:enabled/>
            <w:calcOnExit w:val="0"/>
            <w:textInput/>
          </w:ffData>
        </w:fldChar>
      </w:r>
      <w:bookmarkStart w:id="9" w:name="Text9"/>
      <w:r w:rsidR="008A4415">
        <w:instrText xml:space="preserve"> FORMTEXT </w:instrText>
      </w:r>
      <w:r w:rsidR="008A4415">
        <w:fldChar w:fldCharType="separate"/>
      </w:r>
      <w:r w:rsidR="008A4415">
        <w:rPr>
          <w:noProof/>
        </w:rPr>
        <w:t> </w:t>
      </w:r>
      <w:r w:rsidR="008A4415">
        <w:rPr>
          <w:noProof/>
        </w:rPr>
        <w:t> </w:t>
      </w:r>
      <w:r w:rsidR="008A4415">
        <w:rPr>
          <w:noProof/>
        </w:rPr>
        <w:t> </w:t>
      </w:r>
      <w:r w:rsidR="008A4415">
        <w:rPr>
          <w:noProof/>
        </w:rPr>
        <w:t> </w:t>
      </w:r>
      <w:r w:rsidR="008A4415">
        <w:rPr>
          <w:noProof/>
        </w:rPr>
        <w:t> </w:t>
      </w:r>
      <w:r w:rsidR="008A4415">
        <w:fldChar w:fldCharType="end"/>
      </w:r>
      <w:bookmarkEnd w:id="9"/>
    </w:p>
    <w:p w:rsidR="00916E06" w:rsidRPr="00916E06" w:rsidRDefault="00916E06" w:rsidP="00916E06">
      <w:pPr>
        <w:pStyle w:val="Heading2"/>
        <w:spacing w:after="0"/>
        <w:rPr>
          <w:b w:val="0"/>
          <w:i w:val="0"/>
          <w:sz w:val="22"/>
        </w:rPr>
      </w:pPr>
      <w:r w:rsidRPr="00916E06">
        <w:rPr>
          <w:b w:val="0"/>
          <w:i w:val="0"/>
          <w:sz w:val="22"/>
        </w:rPr>
        <w:t>Best practices were from Toomey, T.L.</w:t>
      </w:r>
      <w:r>
        <w:rPr>
          <w:b w:val="0"/>
          <w:i w:val="0"/>
          <w:sz w:val="22"/>
        </w:rPr>
        <w:t xml:space="preserve"> (</w:t>
      </w:r>
      <w:proofErr w:type="spellStart"/>
      <w:r>
        <w:rPr>
          <w:b w:val="0"/>
          <w:i w:val="0"/>
          <w:sz w:val="22"/>
        </w:rPr>
        <w:t>n.d.</w:t>
      </w:r>
      <w:proofErr w:type="spellEnd"/>
      <w:r>
        <w:rPr>
          <w:b w:val="0"/>
          <w:i w:val="0"/>
          <w:sz w:val="22"/>
        </w:rPr>
        <w:t>).</w:t>
      </w:r>
      <w:r w:rsidRPr="00916E06">
        <w:rPr>
          <w:b w:val="0"/>
          <w:i w:val="0"/>
          <w:sz w:val="22"/>
        </w:rPr>
        <w:t xml:space="preserve"> </w:t>
      </w:r>
      <w:r w:rsidRPr="00916E06">
        <w:rPr>
          <w:b w:val="0"/>
          <w:sz w:val="22"/>
        </w:rPr>
        <w:t>Sample model policies: Community events</w:t>
      </w:r>
      <w:r w:rsidRPr="00916E06">
        <w:rPr>
          <w:b w:val="0"/>
          <w:i w:val="0"/>
          <w:sz w:val="22"/>
        </w:rPr>
        <w:t xml:space="preserve">. Retrieved from </w:t>
      </w:r>
      <w:hyperlink r:id="rId9" w:history="1">
        <w:r w:rsidRPr="00916E06">
          <w:rPr>
            <w:rStyle w:val="Hyperlink"/>
            <w:b w:val="0"/>
            <w:i w:val="0"/>
            <w:sz w:val="22"/>
          </w:rPr>
          <w:t>http://www.epi.umn.edu/alcohol/sample/pdfs/policies_short.pdf</w:t>
        </w:r>
      </w:hyperlink>
      <w:r w:rsidRPr="00916E06">
        <w:rPr>
          <w:b w:val="0"/>
          <w:i w:val="0"/>
          <w:sz w:val="22"/>
        </w:rPr>
        <w:t xml:space="preserve"> </w:t>
      </w:r>
    </w:p>
    <w:sectPr w:rsidR="00916E06" w:rsidRPr="00916E06" w:rsidSect="004A6F73">
      <w:footerReference w:type="default" r:id="rId10"/>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06" w:rsidRDefault="00916E06">
      <w:r>
        <w:separator/>
      </w:r>
    </w:p>
  </w:endnote>
  <w:endnote w:type="continuationSeparator" w:id="0">
    <w:p w:rsidR="00916E06" w:rsidRDefault="0091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F9" w:rsidRPr="002B4892" w:rsidRDefault="00BE3DF9" w:rsidP="001219DB">
    <w:pPr>
      <w:framePr w:w="586" w:wrap="around" w:vAnchor="text" w:hAnchor="page" w:x="7705" w:y="152"/>
      <w:jc w:val="center"/>
      <w:rPr>
        <w:rStyle w:val="PageNumber"/>
      </w:rPr>
    </w:pPr>
    <w:r w:rsidRPr="002B4892">
      <w:rPr>
        <w:rStyle w:val="PageNumber"/>
      </w:rPr>
      <w:fldChar w:fldCharType="begin"/>
    </w:r>
    <w:r w:rsidRPr="002B4892">
      <w:rPr>
        <w:rStyle w:val="PageNumber"/>
      </w:rPr>
      <w:instrText xml:space="preserve">PAGE  </w:instrText>
    </w:r>
    <w:r w:rsidRPr="002B4892">
      <w:rPr>
        <w:rStyle w:val="PageNumber"/>
      </w:rPr>
      <w:fldChar w:fldCharType="separate"/>
    </w:r>
    <w:r w:rsidR="008A4415">
      <w:rPr>
        <w:rStyle w:val="PageNumber"/>
        <w:noProof/>
      </w:rPr>
      <w:t>1</w:t>
    </w:r>
    <w:r w:rsidRPr="002B4892">
      <w:rPr>
        <w:rStyle w:val="PageNumber"/>
      </w:rPr>
      <w:fldChar w:fldCharType="end"/>
    </w:r>
  </w:p>
  <w:p w:rsidR="00BE3DF9" w:rsidRDefault="00BE3DF9" w:rsidP="001219DB">
    <w:pPr>
      <w:pBdr>
        <w:top w:val="single" w:sz="12" w:space="8" w:color="auto"/>
      </w:pBdr>
      <w:tabs>
        <w:tab w:val="right" w:pos="2160"/>
        <w:tab w:val="left" w:pos="10080"/>
      </w:tabs>
      <w:rPr>
        <w:i/>
        <w:sz w:val="18"/>
      </w:rPr>
    </w:pPr>
    <w:r>
      <w:rPr>
        <w:b/>
        <w:sz w:val="18"/>
      </w:rPr>
      <w:tab/>
    </w:r>
    <w:r w:rsidR="002D2C23">
      <w:rPr>
        <w:b/>
        <w:i/>
        <w:sz w:val="18"/>
      </w:rPr>
      <w:t xml:space="preserve">Community event synthesis: </w:t>
    </w:r>
    <w:r w:rsidR="00B60FD8">
      <w:rPr>
        <w:b/>
        <w:i/>
        <w:sz w:val="18"/>
      </w:rPr>
      <w:t>Multiple</w:t>
    </w:r>
    <w:r w:rsidR="002D2C23">
      <w:rPr>
        <w:b/>
        <w:i/>
        <w:sz w:val="18"/>
      </w:rPr>
      <w:t xml:space="preserve"> event</w:t>
    </w:r>
    <w:r w:rsidR="00B60FD8">
      <w:rPr>
        <w:b/>
        <w:i/>
        <w:sz w:val="18"/>
      </w:rPr>
      <w:t>s</w:t>
    </w:r>
    <w:r>
      <w:rPr>
        <w:sz w:val="18"/>
      </w:rPr>
      <w:tab/>
    </w:r>
    <w:r>
      <w:rPr>
        <w:i/>
        <w:sz w:val="18"/>
      </w:rPr>
      <w:t xml:space="preserve">Wilder Research, </w:t>
    </w:r>
    <w:r w:rsidR="002D2C23">
      <w:rPr>
        <w:i/>
        <w:sz w:val="18"/>
      </w:rPr>
      <w:t>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06" w:rsidRDefault="00916E06">
      <w:r>
        <w:separator/>
      </w:r>
    </w:p>
  </w:footnote>
  <w:footnote w:type="continuationSeparator" w:id="0">
    <w:p w:rsidR="00916E06" w:rsidRDefault="00916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89"/>
    <w:multiLevelType w:val="singleLevel"/>
    <w:tmpl w:val="A7BC65E0"/>
    <w:lvl w:ilvl="0">
      <w:start w:val="1"/>
      <w:numFmt w:val="bullet"/>
      <w:pStyle w:val="Bullet"/>
      <w:lvlText w:val=""/>
      <w:lvlJc w:val="left"/>
      <w:pPr>
        <w:tabs>
          <w:tab w:val="num" w:pos="360"/>
        </w:tabs>
        <w:ind w:left="360" w:hanging="360"/>
      </w:pPr>
      <w:rPr>
        <w:rFonts w:ascii="Wingdings" w:hAnsi="Wingdings" w:hint="default"/>
        <w:sz w:val="24"/>
      </w:rPr>
    </w:lvl>
  </w:abstractNum>
  <w:abstractNum w:abstractNumId="1">
    <w:nsid w:val="1E654488"/>
    <w:multiLevelType w:val="hybridMultilevel"/>
    <w:tmpl w:val="CA60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reCd+nOimtS9B0wWyWYSsjpAcPc=" w:salt="5YzZVSkiscsNFVlBMn04u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E06"/>
    <w:rsid w:val="00011D2F"/>
    <w:rsid w:val="00021A90"/>
    <w:rsid w:val="00027F2D"/>
    <w:rsid w:val="00052AF0"/>
    <w:rsid w:val="00061556"/>
    <w:rsid w:val="00076306"/>
    <w:rsid w:val="0007678E"/>
    <w:rsid w:val="000A697B"/>
    <w:rsid w:val="000B7A9F"/>
    <w:rsid w:val="000C1945"/>
    <w:rsid w:val="000D7AF4"/>
    <w:rsid w:val="000F3531"/>
    <w:rsid w:val="001150ED"/>
    <w:rsid w:val="00120DDA"/>
    <w:rsid w:val="001219DB"/>
    <w:rsid w:val="00127CC2"/>
    <w:rsid w:val="00172AAD"/>
    <w:rsid w:val="001771DC"/>
    <w:rsid w:val="00181131"/>
    <w:rsid w:val="001C608F"/>
    <w:rsid w:val="002422CE"/>
    <w:rsid w:val="00255802"/>
    <w:rsid w:val="002608F8"/>
    <w:rsid w:val="00263155"/>
    <w:rsid w:val="00282674"/>
    <w:rsid w:val="002919F8"/>
    <w:rsid w:val="002B0128"/>
    <w:rsid w:val="002B3615"/>
    <w:rsid w:val="002B4892"/>
    <w:rsid w:val="002C40D7"/>
    <w:rsid w:val="002D2C23"/>
    <w:rsid w:val="002D4B92"/>
    <w:rsid w:val="002E20EE"/>
    <w:rsid w:val="00310C83"/>
    <w:rsid w:val="00325A56"/>
    <w:rsid w:val="00342D6C"/>
    <w:rsid w:val="00346812"/>
    <w:rsid w:val="0036333F"/>
    <w:rsid w:val="00367729"/>
    <w:rsid w:val="00377840"/>
    <w:rsid w:val="003C2F90"/>
    <w:rsid w:val="00404E1D"/>
    <w:rsid w:val="00414CF4"/>
    <w:rsid w:val="00453153"/>
    <w:rsid w:val="004665FC"/>
    <w:rsid w:val="00482498"/>
    <w:rsid w:val="00484164"/>
    <w:rsid w:val="00491148"/>
    <w:rsid w:val="00496DB2"/>
    <w:rsid w:val="00497511"/>
    <w:rsid w:val="004A6686"/>
    <w:rsid w:val="004A6F73"/>
    <w:rsid w:val="004A7B11"/>
    <w:rsid w:val="004B1736"/>
    <w:rsid w:val="004E134F"/>
    <w:rsid w:val="004E59DE"/>
    <w:rsid w:val="00501574"/>
    <w:rsid w:val="0051638E"/>
    <w:rsid w:val="0053000F"/>
    <w:rsid w:val="00537AFA"/>
    <w:rsid w:val="0054279E"/>
    <w:rsid w:val="00563941"/>
    <w:rsid w:val="00577B2E"/>
    <w:rsid w:val="005A120C"/>
    <w:rsid w:val="005E69D7"/>
    <w:rsid w:val="00603665"/>
    <w:rsid w:val="00652696"/>
    <w:rsid w:val="0066313E"/>
    <w:rsid w:val="00664684"/>
    <w:rsid w:val="006713D9"/>
    <w:rsid w:val="00674400"/>
    <w:rsid w:val="00697BBA"/>
    <w:rsid w:val="006C5F5C"/>
    <w:rsid w:val="00761963"/>
    <w:rsid w:val="007729D3"/>
    <w:rsid w:val="00774214"/>
    <w:rsid w:val="00774D52"/>
    <w:rsid w:val="007861C1"/>
    <w:rsid w:val="00791F10"/>
    <w:rsid w:val="007A2D16"/>
    <w:rsid w:val="007B33DE"/>
    <w:rsid w:val="00804108"/>
    <w:rsid w:val="00807CAD"/>
    <w:rsid w:val="00867F38"/>
    <w:rsid w:val="00896DCC"/>
    <w:rsid w:val="008A4415"/>
    <w:rsid w:val="008C4D5A"/>
    <w:rsid w:val="008E06BE"/>
    <w:rsid w:val="00902109"/>
    <w:rsid w:val="00916E06"/>
    <w:rsid w:val="009309A0"/>
    <w:rsid w:val="00943250"/>
    <w:rsid w:val="00965762"/>
    <w:rsid w:val="00980B20"/>
    <w:rsid w:val="00993197"/>
    <w:rsid w:val="009968A6"/>
    <w:rsid w:val="00A31E3B"/>
    <w:rsid w:val="00A659B7"/>
    <w:rsid w:val="00A669FA"/>
    <w:rsid w:val="00AA4FAC"/>
    <w:rsid w:val="00AA62FB"/>
    <w:rsid w:val="00AC2C91"/>
    <w:rsid w:val="00B3021F"/>
    <w:rsid w:val="00B352EC"/>
    <w:rsid w:val="00B472AC"/>
    <w:rsid w:val="00B54BFF"/>
    <w:rsid w:val="00B60FD8"/>
    <w:rsid w:val="00B643E1"/>
    <w:rsid w:val="00BA076B"/>
    <w:rsid w:val="00BD2652"/>
    <w:rsid w:val="00BE3DF9"/>
    <w:rsid w:val="00BF729E"/>
    <w:rsid w:val="00C01838"/>
    <w:rsid w:val="00C554A4"/>
    <w:rsid w:val="00C655E0"/>
    <w:rsid w:val="00C7443C"/>
    <w:rsid w:val="00C8701B"/>
    <w:rsid w:val="00C9469F"/>
    <w:rsid w:val="00C97135"/>
    <w:rsid w:val="00CC6462"/>
    <w:rsid w:val="00CF03BF"/>
    <w:rsid w:val="00D30246"/>
    <w:rsid w:val="00D80694"/>
    <w:rsid w:val="00D869E9"/>
    <w:rsid w:val="00DE211A"/>
    <w:rsid w:val="00DF20DD"/>
    <w:rsid w:val="00E02910"/>
    <w:rsid w:val="00E0600B"/>
    <w:rsid w:val="00E30FA8"/>
    <w:rsid w:val="00E5456B"/>
    <w:rsid w:val="00E71E6E"/>
    <w:rsid w:val="00E751B7"/>
    <w:rsid w:val="00E82A90"/>
    <w:rsid w:val="00EA1B8D"/>
    <w:rsid w:val="00EA2C9E"/>
    <w:rsid w:val="00EA2EF6"/>
    <w:rsid w:val="00EF053A"/>
    <w:rsid w:val="00EF2BA7"/>
    <w:rsid w:val="00F47B55"/>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E06"/>
    <w:pPr>
      <w:spacing w:after="200" w:line="276" w:lineRule="auto"/>
    </w:pPr>
    <w:rPr>
      <w:rFonts w:ascii="Calibri" w:eastAsia="Calibri" w:hAnsi="Calibri"/>
      <w:sz w:val="22"/>
      <w:szCs w:val="22"/>
    </w:rPr>
  </w:style>
  <w:style w:type="paragraph" w:styleId="Heading1">
    <w:name w:val="heading 1"/>
    <w:basedOn w:val="Normal"/>
    <w:next w:val="BodyText"/>
    <w:qFormat/>
    <w:rsid w:val="00021A90"/>
    <w:pPr>
      <w:keepNext/>
      <w:spacing w:after="240"/>
      <w:outlineLvl w:val="0"/>
    </w:pPr>
    <w:rPr>
      <w:rFonts w:ascii="Arial Narrow" w:hAnsi="Arial Narrow"/>
      <w:b/>
      <w:spacing w:val="-4"/>
      <w:kern w:val="28"/>
      <w:sz w:val="48"/>
      <w:szCs w:val="44"/>
    </w:rPr>
  </w:style>
  <w:style w:type="paragraph" w:styleId="Heading2">
    <w:name w:val="heading 2"/>
    <w:basedOn w:val="Normal"/>
    <w:next w:val="BodyText"/>
    <w:link w:val="Heading2Char"/>
    <w:uiPriority w:val="9"/>
    <w:qFormat/>
    <w:pPr>
      <w:keepNext/>
      <w:spacing w:before="240" w:after="120"/>
      <w:outlineLvl w:val="1"/>
    </w:pPr>
    <w:rPr>
      <w:b/>
      <w:i/>
      <w:sz w:val="32"/>
    </w:rPr>
  </w:style>
  <w:style w:type="paragraph" w:styleId="Heading3">
    <w:name w:val="heading 3"/>
    <w:basedOn w:val="Normal"/>
    <w:next w:val="BodyText"/>
    <w:qFormat/>
    <w:rsid w:val="00310C83"/>
    <w:pPr>
      <w:keepNext/>
      <w:spacing w:before="240"/>
      <w:outlineLvl w:val="2"/>
    </w:pPr>
    <w:rPr>
      <w:rFonts w:ascii="Arial Black" w:hAnsi="Arial Black"/>
    </w:rPr>
  </w:style>
  <w:style w:type="paragraph" w:styleId="Heading4">
    <w:name w:val="heading 4"/>
    <w:basedOn w:val="Normal"/>
    <w:next w:val="BodyText"/>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line="320" w:lineRule="atLeast"/>
    </w:pPr>
  </w:style>
  <w:style w:type="paragraph" w:customStyle="1" w:styleId="ReportTitle">
    <w:name w:val="Report Title"/>
    <w:basedOn w:val="Normal"/>
    <w:next w:val="Reportsubtitle"/>
    <w:rsid w:val="008E06BE"/>
    <w:pPr>
      <w:spacing w:after="600"/>
      <w:ind w:right="-1800"/>
    </w:pPr>
    <w:rPr>
      <w:rFonts w:ascii="Arial Narrow" w:hAnsi="Arial Narrow"/>
      <w:b/>
      <w:sz w:val="68"/>
      <w:szCs w:val="64"/>
    </w:rPr>
  </w:style>
  <w:style w:type="paragraph" w:customStyle="1" w:styleId="Reportsubtitle">
    <w:name w:val="Report sub title"/>
    <w:basedOn w:val="Normal"/>
    <w:rsid w:val="008E06BE"/>
    <w:pPr>
      <w:spacing w:after="1200"/>
      <w:ind w:right="-1800"/>
    </w:pPr>
    <w:rPr>
      <w:b/>
      <w:i/>
      <w:sz w:val="36"/>
    </w:rPr>
  </w:style>
  <w:style w:type="paragraph" w:customStyle="1" w:styleId="Bullet">
    <w:name w:val="Bullet"/>
    <w:basedOn w:val="BodyText"/>
    <w:pPr>
      <w:numPr>
        <w:numId w:val="1"/>
      </w:numPr>
    </w:pPr>
  </w:style>
  <w:style w:type="paragraph" w:customStyle="1" w:styleId="Reportdate">
    <w:name w:val="Report date"/>
    <w:basedOn w:val="Reportsubtitle"/>
    <w:rsid w:val="00B352EC"/>
    <w:rPr>
      <w:rFonts w:ascii="Arial Black" w:hAnsi="Arial Black"/>
      <w:b w:val="0"/>
      <w:i w:val="0"/>
      <w:caps/>
      <w:spacing w:val="100"/>
      <w:sz w:val="18"/>
    </w:rPr>
  </w:style>
  <w:style w:type="paragraph" w:styleId="Header">
    <w:name w:val="header"/>
    <w:basedOn w:val="Normal"/>
    <w:pPr>
      <w:tabs>
        <w:tab w:val="center" w:pos="4320"/>
        <w:tab w:val="right" w:pos="8640"/>
      </w:tabs>
    </w:pPr>
  </w:style>
  <w:style w:type="paragraph" w:customStyle="1" w:styleId="Titlepagetitle">
    <w:name w:val="Title page title"/>
    <w:basedOn w:val="Normal"/>
    <w:next w:val="Normal"/>
    <w:rsid w:val="00021A90"/>
    <w:pPr>
      <w:spacing w:after="240"/>
    </w:pPr>
    <w:rPr>
      <w:rFonts w:ascii="Arial Narrow" w:hAnsi="Arial Narrow"/>
      <w:b/>
      <w:sz w:val="56"/>
    </w:rPr>
  </w:style>
  <w:style w:type="character" w:styleId="PageNumber">
    <w:name w:val="page number"/>
    <w:rsid w:val="002D4B92"/>
    <w:rPr>
      <w:rFonts w:ascii="Arial Narrow" w:hAnsi="Arial Narrow"/>
      <w:b/>
      <w:dstrike w:val="0"/>
      <w:color w:val="auto"/>
      <w:sz w:val="22"/>
      <w:vertAlign w:val="baseline"/>
    </w:rPr>
  </w:style>
  <w:style w:type="paragraph" w:customStyle="1" w:styleId="BlockQuotation">
    <w:name w:val="Block Quotation"/>
    <w:basedOn w:val="BodyText"/>
    <w:next w:val="BodyText"/>
    <w:pPr>
      <w:keepLines/>
      <w:pBdr>
        <w:left w:val="single" w:sz="36" w:space="5" w:color="808080"/>
        <w:bottom w:val="single" w:sz="48" w:space="3" w:color="FFFFFF"/>
      </w:pBdr>
      <w:spacing w:line="240" w:lineRule="auto"/>
      <w:ind w:left="720" w:right="720"/>
    </w:p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rsid w:val="00310C83"/>
    <w:pPr>
      <w:keepLines/>
      <w:spacing w:after="0" w:line="240" w:lineRule="auto"/>
    </w:pPr>
    <w:rPr>
      <w:rFonts w:ascii="Arial" w:hAnsi="Arial"/>
      <w:sz w:val="20"/>
    </w:rPr>
  </w:style>
  <w:style w:type="paragraph" w:customStyle="1" w:styleId="FigureTitle">
    <w:name w:val="Figure Title"/>
    <w:basedOn w:val="Normal"/>
    <w:next w:val="TableText"/>
    <w:rsid w:val="005A120C"/>
    <w:pPr>
      <w:pBdr>
        <w:top w:val="single" w:sz="4" w:space="3" w:color="auto"/>
      </w:pBdr>
      <w:tabs>
        <w:tab w:val="left" w:pos="533"/>
      </w:tabs>
      <w:spacing w:before="240" w:after="120"/>
      <w:ind w:left="533" w:hanging="533"/>
    </w:pPr>
    <w:rPr>
      <w:rFonts w:ascii="Arial" w:hAnsi="Arial"/>
      <w:b/>
      <w:spacing w:val="4"/>
      <w:kern w:val="24"/>
      <w:szCs w:val="24"/>
    </w:rPr>
  </w:style>
  <w:style w:type="table" w:customStyle="1" w:styleId="2013">
    <w:name w:val="2013"/>
    <w:basedOn w:val="TableNormal"/>
    <w:uiPriority w:val="99"/>
    <w:rsid w:val="000F3531"/>
    <w:rPr>
      <w:rFonts w:ascii="Arial" w:hAnsi="Arial"/>
    </w:rPr>
    <w:tblPr>
      <w:tblInd w:w="0" w:type="dxa"/>
      <w:tblBorders>
        <w:bottom w:val="single" w:sz="4" w:space="0" w:color="FAD2A4"/>
        <w:insideH w:val="single" w:sz="4" w:space="0" w:color="FAD2A4"/>
      </w:tblBorders>
      <w:tblCellMar>
        <w:top w:w="0" w:type="dxa"/>
        <w:left w:w="108" w:type="dxa"/>
        <w:bottom w:w="0" w:type="dxa"/>
        <w:right w:w="108" w:type="dxa"/>
      </w:tblCellMar>
    </w:tblPr>
    <w:tcPr>
      <w:vAlign w:val="bottom"/>
    </w:tcPr>
    <w:tblStylePr w:type="firstRow">
      <w:rPr>
        <w:b/>
      </w:rPr>
      <w:tblPr/>
      <w:tcPr>
        <w:tcBorders>
          <w:bottom w:val="single" w:sz="4" w:space="0" w:color="F3901D"/>
        </w:tcBorders>
      </w:tcPr>
    </w:tblStylePr>
  </w:style>
  <w:style w:type="paragraph" w:styleId="TOC1">
    <w:name w:val="toc 1"/>
    <w:basedOn w:val="Normal"/>
    <w:next w:val="Normal"/>
    <w:autoRedefine/>
    <w:semiHidden/>
    <w:pPr>
      <w:tabs>
        <w:tab w:val="right" w:leader="dot" w:pos="8630"/>
      </w:tabs>
      <w:spacing w:before="240"/>
    </w:pPr>
    <w:rPr>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Footer">
    <w:name w:val="footer"/>
    <w:basedOn w:val="Normal"/>
    <w:pPr>
      <w:tabs>
        <w:tab w:val="center" w:pos="4320"/>
        <w:tab w:val="right" w:pos="8640"/>
      </w:tabs>
    </w:pPr>
  </w:style>
  <w:style w:type="table" w:customStyle="1" w:styleId="TableStyle">
    <w:name w:val="Table Style"/>
    <w:basedOn w:val="TableNormal"/>
    <w:rsid w:val="001771DC"/>
    <w:pPr>
      <w:spacing w:before="120"/>
    </w:pPr>
    <w:rPr>
      <w:rFonts w:ascii="Arial" w:hAnsi="Arial"/>
    </w:rPr>
    <w:tblPr>
      <w:tblStyleRowBandSize w:val="1"/>
      <w:tblStyleColBandSize w:val="1"/>
      <w:tblInd w:w="0" w:type="dxa"/>
      <w:tblCellMar>
        <w:top w:w="0" w:type="dxa"/>
        <w:left w:w="115" w:type="dxa"/>
        <w:bottom w:w="0"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774D52"/>
    <w:pPr>
      <w:tabs>
        <w:tab w:val="left" w:pos="907"/>
      </w:tabs>
      <w:spacing w:after="0" w:line="280" w:lineRule="atLeast"/>
    </w:pPr>
    <w:rPr>
      <w:rFonts w:ascii="Arial Narrow" w:hAnsi="Arial Narrow"/>
      <w:i/>
      <w:spacing w:val="-4"/>
      <w:sz w:val="20"/>
    </w:rPr>
  </w:style>
  <w:style w:type="table" w:customStyle="1" w:styleId="Style3">
    <w:name w:val="Style3"/>
    <w:basedOn w:val="TableNormal"/>
    <w:uiPriority w:val="99"/>
    <w:rsid w:val="0053000F"/>
    <w:rPr>
      <w:rFonts w:ascii="Arial" w:hAnsi="Arial"/>
    </w:rPr>
    <w:tblPr>
      <w:tblInd w:w="0" w:type="dxa"/>
      <w:tblBorders>
        <w:bottom w:val="single" w:sz="4" w:space="0" w:color="FAD2A4"/>
        <w:insideH w:val="single" w:sz="4" w:space="0" w:color="FAD2A4"/>
      </w:tblBorders>
      <w:tblCellMar>
        <w:top w:w="0" w:type="dxa"/>
        <w:left w:w="108" w:type="dxa"/>
        <w:bottom w:w="0" w:type="dxa"/>
        <w:right w:w="108" w:type="dxa"/>
      </w:tblCellMar>
    </w:tblPr>
    <w:tcPr>
      <w:vAlign w:val="bottom"/>
    </w:tcPr>
    <w:tblStylePr w:type="firstRow">
      <w:rPr>
        <w:b/>
      </w:rPr>
      <w:tblPr/>
      <w:tcPr>
        <w:tcBorders>
          <w:bottom w:val="single" w:sz="4" w:space="0" w:color="F3901D"/>
        </w:tcBorders>
      </w:tcPr>
    </w:tblStylePr>
  </w:style>
  <w:style w:type="table" w:customStyle="1" w:styleId="Style2013">
    <w:name w:val="Style 2013"/>
    <w:basedOn w:val="TableNormal"/>
    <w:uiPriority w:val="99"/>
    <w:rsid w:val="0053000F"/>
    <w:rPr>
      <w:rFonts w:ascii="Arial" w:hAnsi="Arial"/>
    </w:rPr>
    <w:tblPr>
      <w:tblInd w:w="0" w:type="dxa"/>
      <w:tblBorders>
        <w:bottom w:val="single" w:sz="4" w:space="0" w:color="FAD2A4"/>
        <w:insideH w:val="single" w:sz="4" w:space="0" w:color="FAD2A4"/>
      </w:tblBorders>
      <w:tblCellMar>
        <w:top w:w="0" w:type="dxa"/>
        <w:left w:w="108" w:type="dxa"/>
        <w:bottom w:w="0" w:type="dxa"/>
        <w:right w:w="108" w:type="dxa"/>
      </w:tblCellMar>
    </w:tblPr>
    <w:tcPr>
      <w:vAlign w:val="bottom"/>
    </w:tcPr>
    <w:tblStylePr w:type="firstRow">
      <w:rPr>
        <w:b/>
      </w:rPr>
      <w:tblPr/>
      <w:tcPr>
        <w:tcBorders>
          <w:bottom w:val="single" w:sz="4" w:space="0" w:color="F3901D"/>
        </w:tcBorders>
      </w:tcPr>
    </w:tblStylePr>
  </w:style>
  <w:style w:type="character" w:customStyle="1" w:styleId="Heading2Char">
    <w:name w:val="Heading 2 Char"/>
    <w:link w:val="Heading2"/>
    <w:uiPriority w:val="9"/>
    <w:rsid w:val="00916E06"/>
    <w:rPr>
      <w:b/>
      <w:i/>
      <w:sz w:val="32"/>
    </w:rPr>
  </w:style>
  <w:style w:type="paragraph" w:styleId="NoSpacing">
    <w:name w:val="No Spacing"/>
    <w:uiPriority w:val="1"/>
    <w:qFormat/>
    <w:rsid w:val="00916E06"/>
    <w:rPr>
      <w:rFonts w:ascii="Calibri" w:eastAsia="Calibri" w:hAnsi="Calibri"/>
      <w:sz w:val="22"/>
      <w:szCs w:val="22"/>
    </w:rPr>
  </w:style>
  <w:style w:type="paragraph" w:customStyle="1" w:styleId="Default">
    <w:name w:val="Default"/>
    <w:rsid w:val="00916E06"/>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916E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16E06"/>
    <w:rPr>
      <w:color w:val="0000FF" w:themeColor="hyperlink"/>
      <w:u w:val="single"/>
    </w:rPr>
  </w:style>
  <w:style w:type="character" w:customStyle="1" w:styleId="CommentTextChar">
    <w:name w:val="Comment Text Char"/>
    <w:link w:val="CommentText"/>
    <w:uiPriority w:val="99"/>
    <w:semiHidden/>
    <w:rsid w:val="00172AAD"/>
    <w:rPr>
      <w:rFonts w:ascii="Calibri" w:eastAsia="Calibri" w:hAnsi="Calibri"/>
      <w:szCs w:val="22"/>
    </w:rPr>
  </w:style>
  <w:style w:type="paragraph" w:styleId="BalloonText">
    <w:name w:val="Balloon Text"/>
    <w:basedOn w:val="Normal"/>
    <w:link w:val="BalloonTextChar"/>
    <w:rsid w:val="0017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2A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umn.edu/alcohol/festivals/index.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umn.edu/alcohol/sample/pdfs/policies_sh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pre%202013\Exter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 report</Template>
  <TotalTime>11</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Heading 1:  18 point</vt:lpstr>
    </vt:vector>
  </TitlesOfParts>
  <Company>WILDER FOUNDATION</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18 point</dc:title>
  <dc:creator>Kristin A. Dillon</dc:creator>
  <cp:lastModifiedBy>Kristin A. Dillon</cp:lastModifiedBy>
  <cp:revision>3</cp:revision>
  <cp:lastPrinted>2005-07-25T19:44:00Z</cp:lastPrinted>
  <dcterms:created xsi:type="dcterms:W3CDTF">2013-07-01T20:43:00Z</dcterms:created>
  <dcterms:modified xsi:type="dcterms:W3CDTF">2013-07-01T20:54:00Z</dcterms:modified>
</cp:coreProperties>
</file>