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06" w:rsidRPr="00C53116" w:rsidRDefault="00916E06" w:rsidP="00916E06">
      <w:pPr>
        <w:pStyle w:val="Heading2"/>
        <w:rPr>
          <w:rFonts w:ascii="Arial Narrow" w:hAnsi="Arial Narrow"/>
          <w:i w:val="0"/>
          <w:sz w:val="40"/>
        </w:rPr>
      </w:pPr>
      <w:r w:rsidRPr="00C53116">
        <w:rPr>
          <w:rFonts w:ascii="Arial Narrow" w:hAnsi="Arial Narrow"/>
          <w:i w:val="0"/>
          <w:sz w:val="40"/>
        </w:rPr>
        <w:t xml:space="preserve">Community event </w:t>
      </w:r>
      <w:r>
        <w:rPr>
          <w:rFonts w:ascii="Arial Narrow" w:hAnsi="Arial Narrow"/>
          <w:i w:val="0"/>
          <w:sz w:val="40"/>
        </w:rPr>
        <w:t xml:space="preserve">synthesis form – Single event </w:t>
      </w:r>
    </w:p>
    <w:p w:rsidR="00916E06" w:rsidRDefault="00916E06" w:rsidP="00916E06">
      <w:pPr>
        <w:spacing w:after="0" w:line="360" w:lineRule="auto"/>
      </w:pPr>
      <w:r>
        <w:t xml:space="preserve">Name of the event: </w:t>
      </w:r>
      <w:bookmarkStart w:id="0" w:name="Text1"/>
      <w:r w:rsidR="001C2D21">
        <w:fldChar w:fldCharType="begin">
          <w:ffData>
            <w:name w:val="Text1"/>
            <w:enabled/>
            <w:calcOnExit w:val="0"/>
            <w:textInput/>
          </w:ffData>
        </w:fldChar>
      </w:r>
      <w:r w:rsidR="001C2D21">
        <w:instrText xml:space="preserve"> FORMTEXT </w:instrText>
      </w:r>
      <w:r w:rsidR="001C2D21">
        <w:fldChar w:fldCharType="separate"/>
      </w:r>
      <w:r w:rsidR="001C2D21">
        <w:rPr>
          <w:noProof/>
        </w:rPr>
        <w:t> </w:t>
      </w:r>
      <w:r w:rsidR="001C2D21">
        <w:rPr>
          <w:noProof/>
        </w:rPr>
        <w:t> </w:t>
      </w:r>
      <w:r w:rsidR="001C2D21">
        <w:rPr>
          <w:noProof/>
        </w:rPr>
        <w:t> </w:t>
      </w:r>
      <w:r w:rsidR="001C2D21">
        <w:rPr>
          <w:noProof/>
        </w:rPr>
        <w:t> </w:t>
      </w:r>
      <w:r w:rsidR="001C2D21">
        <w:rPr>
          <w:noProof/>
        </w:rPr>
        <w:t> </w:t>
      </w:r>
      <w:r w:rsidR="001C2D21">
        <w:fldChar w:fldCharType="end"/>
      </w:r>
      <w:bookmarkEnd w:id="0"/>
    </w:p>
    <w:p w:rsidR="00916E06" w:rsidRDefault="00916E06" w:rsidP="00916E06">
      <w:pPr>
        <w:spacing w:after="0" w:line="360" w:lineRule="auto"/>
      </w:pPr>
      <w:r>
        <w:t xml:space="preserve">Number of scans completed at event: </w:t>
      </w:r>
      <w:bookmarkStart w:id="1" w:name="Text2"/>
      <w:r w:rsidR="001C2D21">
        <w:fldChar w:fldCharType="begin">
          <w:ffData>
            <w:name w:val="Text2"/>
            <w:enabled/>
            <w:calcOnExit w:val="0"/>
            <w:textInput/>
          </w:ffData>
        </w:fldChar>
      </w:r>
      <w:r w:rsidR="001C2D21">
        <w:instrText xml:space="preserve"> FORMTEXT </w:instrText>
      </w:r>
      <w:r w:rsidR="001C2D21">
        <w:fldChar w:fldCharType="separate"/>
      </w:r>
      <w:r w:rsidR="001C2D21">
        <w:rPr>
          <w:noProof/>
        </w:rPr>
        <w:t> </w:t>
      </w:r>
      <w:r w:rsidR="001C2D21">
        <w:rPr>
          <w:noProof/>
        </w:rPr>
        <w:t> </w:t>
      </w:r>
      <w:r w:rsidR="001C2D21">
        <w:rPr>
          <w:noProof/>
        </w:rPr>
        <w:t> </w:t>
      </w:r>
      <w:r w:rsidR="001C2D21">
        <w:rPr>
          <w:noProof/>
        </w:rPr>
        <w:t> </w:t>
      </w:r>
      <w:r w:rsidR="001C2D21">
        <w:rPr>
          <w:noProof/>
        </w:rPr>
        <w:t> </w:t>
      </w:r>
      <w:r w:rsidR="001C2D21">
        <w:fldChar w:fldCharType="end"/>
      </w:r>
      <w:bookmarkEnd w:id="1"/>
    </w:p>
    <w:p w:rsidR="00916E06" w:rsidRPr="003D569B" w:rsidRDefault="00916E06" w:rsidP="00916E06">
      <w:pPr>
        <w:pStyle w:val="Heading2"/>
        <w:rPr>
          <w:rFonts w:ascii="Times New Roman" w:hAnsi="Times New Roman"/>
        </w:rPr>
      </w:pPr>
      <w:r w:rsidRPr="003D569B">
        <w:rPr>
          <w:rFonts w:ascii="Times New Roman" w:hAnsi="Times New Roman"/>
        </w:rPr>
        <w:t>Community event best practices</w:t>
      </w:r>
    </w:p>
    <w:p w:rsidR="00916E06" w:rsidRDefault="00916E06" w:rsidP="00916E06">
      <w:pPr>
        <w:spacing w:after="0" w:line="240" w:lineRule="auto"/>
      </w:pPr>
      <w:r>
        <w:t xml:space="preserve">Below are evidence-based best practices to restrict alcohol sales to underage youth and young adults, as well as intoxicated adults.  This form includes those practices that are observable, as well as information about how these practices were observed at the event listed above and recommendations for how to strengthen the practices at future events.  For more information about these best practices, please see </w:t>
      </w:r>
      <w:hyperlink r:id="rId8" w:history="1">
        <w:r w:rsidRPr="007E5DBD">
          <w:rPr>
            <w:rStyle w:val="Hyperlink"/>
          </w:rPr>
          <w:t>http://www.epi.umn.edu/alcohol/festivals/index.shtm</w:t>
        </w:r>
      </w:hyperlink>
      <w:r>
        <w:t xml:space="preserve"> </w:t>
      </w:r>
    </w:p>
    <w:p w:rsidR="000D7AF4" w:rsidRPr="00916E06" w:rsidRDefault="000D7AF4" w:rsidP="000D7AF4">
      <w:pPr>
        <w:pStyle w:val="Heading3"/>
      </w:pPr>
      <w:r>
        <w:t>Creating a safe environment</w:t>
      </w:r>
    </w:p>
    <w:tbl>
      <w:tblPr>
        <w:tblStyle w:val="TableStyle"/>
        <w:tblW w:w="10980" w:type="dxa"/>
        <w:tblInd w:w="-695" w:type="dxa"/>
        <w:tblLook w:val="04A0" w:firstRow="1" w:lastRow="0" w:firstColumn="1" w:lastColumn="0" w:noHBand="0" w:noVBand="1"/>
      </w:tblPr>
      <w:tblGrid>
        <w:gridCol w:w="3690"/>
        <w:gridCol w:w="3600"/>
        <w:gridCol w:w="3690"/>
      </w:tblGrid>
      <w:tr w:rsidR="000D7AF4" w:rsidRPr="000D7AF4" w:rsidTr="000D7A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tcPr>
          <w:p w:rsidR="000D7AF4" w:rsidRPr="002D2C23" w:rsidRDefault="000D7AF4" w:rsidP="00352819">
            <w:pPr>
              <w:autoSpaceDE w:val="0"/>
              <w:autoSpaceDN w:val="0"/>
              <w:adjustRightInd w:val="0"/>
              <w:spacing w:after="0" w:line="240" w:lineRule="auto"/>
              <w:jc w:val="center"/>
              <w:rPr>
                <w:rFonts w:cs="GillSansMT,BoldItalic"/>
                <w:bCs/>
                <w:iCs/>
                <w:color w:val="000000"/>
              </w:rPr>
            </w:pPr>
            <w:r w:rsidRPr="002D2C23">
              <w:rPr>
                <w:rFonts w:cs="GillSansMT,BoldItalic"/>
                <w:bCs/>
                <w:iCs/>
                <w:color w:val="000000"/>
              </w:rPr>
              <w:t>Best practice</w:t>
            </w:r>
          </w:p>
        </w:tc>
        <w:tc>
          <w:tcPr>
            <w:tcW w:w="3600" w:type="dxa"/>
          </w:tcPr>
          <w:p w:rsidR="000D7AF4" w:rsidRPr="002D2C23" w:rsidRDefault="000D7AF4" w:rsidP="003528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sidRPr="002D2C23">
              <w:rPr>
                <w:rFonts w:cs="GillSansMT,BoldItalic"/>
                <w:bCs/>
                <w:iCs/>
                <w:color w:val="000000"/>
              </w:rPr>
              <w:t>Observed strengths</w:t>
            </w:r>
          </w:p>
        </w:tc>
        <w:tc>
          <w:tcPr>
            <w:tcW w:w="3690" w:type="dxa"/>
          </w:tcPr>
          <w:p w:rsidR="000D7AF4" w:rsidRPr="002D2C23" w:rsidRDefault="000D7AF4" w:rsidP="003528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sidRPr="002D2C23">
              <w:rPr>
                <w:rFonts w:cs="GillSansMT,BoldItalic"/>
                <w:bCs/>
                <w:iCs/>
                <w:color w:val="000000"/>
              </w:rPr>
              <w:t>Recommendations for improvement</w:t>
            </w:r>
          </w:p>
        </w:tc>
      </w:tr>
      <w:tr w:rsidR="000D7AF4" w:rsidRPr="000D7AF4" w:rsidTr="001C2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D7AF4" w:rsidRDefault="000D7AF4" w:rsidP="001C2D21">
            <w:pPr>
              <w:autoSpaceDE w:val="0"/>
              <w:autoSpaceDN w:val="0"/>
              <w:adjustRightInd w:val="0"/>
              <w:spacing w:after="0" w:line="240" w:lineRule="auto"/>
              <w:rPr>
                <w:rFonts w:cs="GillSansMT"/>
                <w:color w:val="000000"/>
              </w:rPr>
            </w:pPr>
            <w:r w:rsidRPr="000D7AF4">
              <w:rPr>
                <w:rFonts w:cs="GillSansMT,BoldItalic"/>
                <w:b/>
                <w:bCs/>
                <w:iCs/>
                <w:color w:val="000000"/>
              </w:rPr>
              <w:t>Restrict</w:t>
            </w:r>
            <w:r>
              <w:rPr>
                <w:rFonts w:cs="GillSansMT,BoldItalic"/>
                <w:b/>
                <w:bCs/>
                <w:iCs/>
                <w:color w:val="000000"/>
              </w:rPr>
              <w:t>ing the a</w:t>
            </w:r>
            <w:r w:rsidRPr="000D7AF4">
              <w:rPr>
                <w:rFonts w:cs="GillSansMT,BoldItalic"/>
                <w:b/>
                <w:bCs/>
                <w:iCs/>
                <w:color w:val="000000"/>
              </w:rPr>
              <w:t xml:space="preserve">ge of </w:t>
            </w:r>
            <w:r>
              <w:rPr>
                <w:rFonts w:cs="GillSansMT,BoldItalic"/>
                <w:b/>
                <w:bCs/>
                <w:iCs/>
                <w:color w:val="000000"/>
              </w:rPr>
              <w:t>s</w:t>
            </w:r>
            <w:r w:rsidRPr="000D7AF4">
              <w:rPr>
                <w:rFonts w:cs="GillSansMT,BoldItalic"/>
                <w:b/>
                <w:bCs/>
                <w:iCs/>
                <w:color w:val="000000"/>
              </w:rPr>
              <w:t>ervers</w:t>
            </w:r>
            <w:r w:rsidRPr="000D7AF4">
              <w:rPr>
                <w:rFonts w:cs="GillSansMT"/>
                <w:color w:val="000000"/>
              </w:rPr>
              <w:t xml:space="preserve"> </w:t>
            </w:r>
          </w:p>
          <w:p w:rsidR="000D7AF4" w:rsidRPr="000D7AF4" w:rsidRDefault="000D7AF4" w:rsidP="001C2D21">
            <w:pPr>
              <w:autoSpaceDE w:val="0"/>
              <w:autoSpaceDN w:val="0"/>
              <w:adjustRightInd w:val="0"/>
              <w:spacing w:after="0" w:line="240" w:lineRule="auto"/>
              <w:rPr>
                <w:rFonts w:cs="GillSansMT,BoldItalic"/>
                <w:b/>
                <w:bCs/>
                <w:iCs/>
                <w:color w:val="000000"/>
              </w:rPr>
            </w:pPr>
            <w:r w:rsidRPr="000D7AF4">
              <w:rPr>
                <w:rFonts w:cs="GillSansMT"/>
                <w:color w:val="000000"/>
              </w:rPr>
              <w:t>Restrict alcohol servers and security to individuals 21 years and older.</w:t>
            </w:r>
          </w:p>
        </w:tc>
        <w:tc>
          <w:tcPr>
            <w:tcW w:w="3600" w:type="dxa"/>
            <w:vAlign w:val="center"/>
          </w:tcPr>
          <w:p w:rsidR="000D7AF4"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bookmarkStart w:id="2" w:name="Text3"/>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bookmarkStart w:id="3" w:name="_GoBack"/>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bookmarkEnd w:id="3"/>
            <w:r>
              <w:rPr>
                <w:rFonts w:cs="GillSansMT,BoldItalic"/>
                <w:b/>
                <w:bCs/>
                <w:iCs/>
                <w:color w:val="000000"/>
              </w:rPr>
              <w:fldChar w:fldCharType="end"/>
            </w:r>
            <w:bookmarkEnd w:id="2"/>
          </w:p>
        </w:tc>
        <w:tc>
          <w:tcPr>
            <w:tcW w:w="3690" w:type="dxa"/>
            <w:vAlign w:val="center"/>
          </w:tcPr>
          <w:p w:rsidR="000D7AF4"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bookmarkStart w:id="4" w:name="Text4"/>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bookmarkEnd w:id="4"/>
          </w:p>
        </w:tc>
      </w:tr>
      <w:tr w:rsidR="001C2D21" w:rsidRPr="000D7AF4" w:rsidTr="008C1B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1C2D21" w:rsidRDefault="001C2D21" w:rsidP="001C2D21">
            <w:pPr>
              <w:autoSpaceDE w:val="0"/>
              <w:autoSpaceDN w:val="0"/>
              <w:adjustRightInd w:val="0"/>
              <w:spacing w:after="0" w:line="240" w:lineRule="auto"/>
              <w:rPr>
                <w:rFonts w:cs="GillSansMT"/>
                <w:color w:val="000000"/>
              </w:rPr>
            </w:pPr>
            <w:r w:rsidRPr="000D7AF4">
              <w:rPr>
                <w:rFonts w:cs="GillSansMT,BoldItalic"/>
                <w:b/>
                <w:bCs/>
                <w:iCs/>
                <w:color w:val="000000"/>
              </w:rPr>
              <w:t>Hir</w:t>
            </w:r>
            <w:r>
              <w:rPr>
                <w:rFonts w:cs="GillSansMT,BoldItalic"/>
                <w:b/>
                <w:bCs/>
                <w:iCs/>
                <w:color w:val="000000"/>
              </w:rPr>
              <w:t>ing</w:t>
            </w:r>
            <w:r w:rsidRPr="000D7AF4">
              <w:rPr>
                <w:rFonts w:cs="GillSansMT,BoldItalic"/>
                <w:b/>
                <w:bCs/>
                <w:iCs/>
                <w:color w:val="000000"/>
              </w:rPr>
              <w:t xml:space="preserve"> </w:t>
            </w:r>
            <w:r>
              <w:rPr>
                <w:rFonts w:cs="GillSansMT,BoldItalic"/>
                <w:b/>
                <w:bCs/>
                <w:iCs/>
                <w:color w:val="000000"/>
              </w:rPr>
              <w:t>a</w:t>
            </w:r>
            <w:r w:rsidRPr="000D7AF4">
              <w:rPr>
                <w:rFonts w:cs="GillSansMT,BoldItalic"/>
                <w:b/>
                <w:bCs/>
                <w:iCs/>
                <w:color w:val="000000"/>
              </w:rPr>
              <w:t xml:space="preserve">dequate </w:t>
            </w:r>
            <w:r>
              <w:rPr>
                <w:rFonts w:cs="GillSansMT,BoldItalic"/>
                <w:b/>
                <w:bCs/>
                <w:iCs/>
                <w:color w:val="000000"/>
              </w:rPr>
              <w:t>s</w:t>
            </w:r>
            <w:r w:rsidRPr="000D7AF4">
              <w:rPr>
                <w:rFonts w:cs="GillSansMT,BoldItalic"/>
                <w:b/>
                <w:bCs/>
                <w:iCs/>
                <w:color w:val="000000"/>
              </w:rPr>
              <w:t>ecurity</w:t>
            </w:r>
            <w:r w:rsidRPr="000D7AF4">
              <w:rPr>
                <w:rFonts w:cs="GillSansMT"/>
                <w:color w:val="000000"/>
              </w:rPr>
              <w:t xml:space="preserve"> </w:t>
            </w:r>
          </w:p>
          <w:p w:rsidR="001C2D21" w:rsidRPr="000D7AF4" w:rsidRDefault="001C2D21" w:rsidP="001C2D21">
            <w:pPr>
              <w:autoSpaceDE w:val="0"/>
              <w:autoSpaceDN w:val="0"/>
              <w:adjustRightInd w:val="0"/>
              <w:spacing w:after="0" w:line="240" w:lineRule="auto"/>
              <w:rPr>
                <w:rFonts w:cs="GillSansMT,BoldItalic"/>
                <w:b/>
                <w:bCs/>
                <w:iCs/>
                <w:color w:val="000000"/>
              </w:rPr>
            </w:pPr>
            <w:r w:rsidRPr="000D7AF4">
              <w:rPr>
                <w:rFonts w:cs="GillSansMT"/>
                <w:color w:val="000000"/>
              </w:rPr>
              <w:t>Hire adequate security to monitor alcohol consumption.</w:t>
            </w:r>
          </w:p>
        </w:tc>
        <w:tc>
          <w:tcPr>
            <w:tcW w:w="3600"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0D7AF4" w:rsidTr="0020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1C2D21" w:rsidRDefault="001C2D21" w:rsidP="001C2D21">
            <w:pPr>
              <w:autoSpaceDE w:val="0"/>
              <w:autoSpaceDN w:val="0"/>
              <w:adjustRightInd w:val="0"/>
              <w:spacing w:after="0" w:line="240" w:lineRule="auto"/>
              <w:rPr>
                <w:rFonts w:cs="GillSansMT"/>
                <w:color w:val="000000"/>
              </w:rPr>
            </w:pPr>
            <w:r>
              <w:rPr>
                <w:rFonts w:cs="GillSansMT,BoldItalic"/>
                <w:b/>
                <w:bCs/>
                <w:iCs/>
                <w:color w:val="000000"/>
              </w:rPr>
              <w:t>Prohibiting d</w:t>
            </w:r>
            <w:r w:rsidRPr="000D7AF4">
              <w:rPr>
                <w:rFonts w:cs="GillSansMT,BoldItalic"/>
                <w:b/>
                <w:bCs/>
                <w:iCs/>
                <w:color w:val="000000"/>
              </w:rPr>
              <w:t xml:space="preserve">rinking </w:t>
            </w:r>
            <w:r>
              <w:rPr>
                <w:rFonts w:cs="GillSansMT,BoldItalic"/>
                <w:b/>
                <w:bCs/>
                <w:iCs/>
                <w:color w:val="000000"/>
              </w:rPr>
              <w:t>a</w:t>
            </w:r>
            <w:r w:rsidRPr="000D7AF4">
              <w:rPr>
                <w:rFonts w:cs="GillSansMT,BoldItalic"/>
                <w:b/>
                <w:bCs/>
                <w:iCs/>
                <w:color w:val="000000"/>
              </w:rPr>
              <w:t xml:space="preserve">lcohol on the </w:t>
            </w:r>
            <w:r>
              <w:rPr>
                <w:rFonts w:cs="GillSansMT,BoldItalic"/>
                <w:b/>
                <w:bCs/>
                <w:iCs/>
                <w:color w:val="000000"/>
              </w:rPr>
              <w:t>j</w:t>
            </w:r>
            <w:r w:rsidRPr="000D7AF4">
              <w:rPr>
                <w:rFonts w:cs="GillSansMT,BoldItalic"/>
                <w:b/>
                <w:bCs/>
                <w:iCs/>
                <w:color w:val="000000"/>
              </w:rPr>
              <w:t>ob</w:t>
            </w:r>
            <w:r w:rsidRPr="000D7AF4">
              <w:rPr>
                <w:rFonts w:cs="GillSansMT"/>
                <w:color w:val="000000"/>
              </w:rPr>
              <w:t xml:space="preserve"> </w:t>
            </w:r>
          </w:p>
          <w:p w:rsidR="001C2D21" w:rsidRPr="000D7AF4" w:rsidRDefault="001C2D21" w:rsidP="001C2D21">
            <w:pPr>
              <w:autoSpaceDE w:val="0"/>
              <w:autoSpaceDN w:val="0"/>
              <w:adjustRightInd w:val="0"/>
              <w:spacing w:after="0" w:line="240" w:lineRule="auto"/>
              <w:rPr>
                <w:rFonts w:cs="GillSansMT,BoldItalic"/>
                <w:b/>
                <w:bCs/>
                <w:iCs/>
                <w:color w:val="000000"/>
              </w:rPr>
            </w:pPr>
            <w:r w:rsidRPr="000D7AF4">
              <w:rPr>
                <w:rFonts w:cs="GillSansMT"/>
                <w:color w:val="000000"/>
              </w:rPr>
              <w:t xml:space="preserve">Alcohol servers are </w:t>
            </w:r>
            <w:r>
              <w:rPr>
                <w:rFonts w:cs="GillSansMT"/>
                <w:color w:val="000000"/>
              </w:rPr>
              <w:t>not allowed</w:t>
            </w:r>
            <w:r w:rsidRPr="000D7AF4">
              <w:rPr>
                <w:rFonts w:cs="GillSansMT"/>
                <w:color w:val="000000"/>
              </w:rPr>
              <w:t xml:space="preserve"> to have alcohol in their systems while working</w:t>
            </w:r>
            <w:r w:rsidRPr="000D7AF4">
              <w:rPr>
                <w:rFonts w:cs="GillSansMT,Italic"/>
                <w:iCs/>
                <w:color w:val="000000"/>
              </w:rPr>
              <w:t>.</w:t>
            </w:r>
          </w:p>
        </w:tc>
        <w:tc>
          <w:tcPr>
            <w:tcW w:w="3600"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0D7AF4" w:rsidTr="007F7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1C2D21" w:rsidRDefault="001C2D21" w:rsidP="001C2D21">
            <w:pPr>
              <w:autoSpaceDE w:val="0"/>
              <w:autoSpaceDN w:val="0"/>
              <w:adjustRightInd w:val="0"/>
              <w:spacing w:after="0" w:line="240" w:lineRule="auto"/>
              <w:rPr>
                <w:rFonts w:cs="GillSansMT"/>
                <w:b/>
                <w:color w:val="000000"/>
              </w:rPr>
            </w:pPr>
            <w:r w:rsidRPr="000D7AF4">
              <w:rPr>
                <w:rFonts w:cs="GillSansMT,BoldItalic"/>
                <w:b/>
                <w:bCs/>
                <w:iCs/>
                <w:color w:val="000000"/>
              </w:rPr>
              <w:t>Limit</w:t>
            </w:r>
            <w:r>
              <w:rPr>
                <w:rFonts w:cs="GillSansMT,BoldItalic"/>
                <w:b/>
                <w:bCs/>
                <w:iCs/>
                <w:color w:val="000000"/>
              </w:rPr>
              <w:t>ing</w:t>
            </w:r>
            <w:r w:rsidRPr="000D7AF4">
              <w:rPr>
                <w:rFonts w:cs="GillSansMT,BoldItalic"/>
                <w:b/>
                <w:bCs/>
                <w:iCs/>
                <w:color w:val="000000"/>
              </w:rPr>
              <w:t xml:space="preserve"> </w:t>
            </w:r>
            <w:r>
              <w:rPr>
                <w:rFonts w:cs="GillSansMT,BoldItalic"/>
                <w:b/>
                <w:bCs/>
                <w:iCs/>
                <w:color w:val="000000"/>
              </w:rPr>
              <w:t>a</w:t>
            </w:r>
            <w:r w:rsidRPr="000D7AF4">
              <w:rPr>
                <w:rFonts w:cs="GillSansMT,BoldItalic"/>
                <w:b/>
                <w:bCs/>
                <w:iCs/>
                <w:color w:val="000000"/>
              </w:rPr>
              <w:t xml:space="preserve">lcohol </w:t>
            </w:r>
            <w:r>
              <w:rPr>
                <w:rFonts w:cs="GillSansMT,BoldItalic"/>
                <w:b/>
                <w:bCs/>
                <w:iCs/>
                <w:color w:val="000000"/>
              </w:rPr>
              <w:t>s</w:t>
            </w:r>
            <w:r w:rsidRPr="000D7AF4">
              <w:rPr>
                <w:rFonts w:cs="GillSansMT,BoldItalic"/>
                <w:b/>
                <w:bCs/>
                <w:iCs/>
                <w:color w:val="000000"/>
              </w:rPr>
              <w:t>ponsorship/</w:t>
            </w:r>
            <w:r>
              <w:rPr>
                <w:rFonts w:cs="GillSansMT,BoldItalic"/>
                <w:b/>
                <w:bCs/>
                <w:iCs/>
                <w:color w:val="000000"/>
              </w:rPr>
              <w:t>p</w:t>
            </w:r>
            <w:r w:rsidRPr="000D7AF4">
              <w:rPr>
                <w:rFonts w:cs="GillSansMT,BoldItalic"/>
                <w:b/>
                <w:bCs/>
                <w:iCs/>
                <w:color w:val="000000"/>
              </w:rPr>
              <w:t>romotions</w:t>
            </w:r>
            <w:r w:rsidRPr="000D7AF4">
              <w:rPr>
                <w:rFonts w:cs="GillSansMT"/>
                <w:b/>
                <w:color w:val="000000"/>
              </w:rPr>
              <w:t xml:space="preserve"> </w:t>
            </w:r>
          </w:p>
          <w:p w:rsidR="001C2D21" w:rsidRPr="000D7AF4" w:rsidRDefault="001C2D21" w:rsidP="001C2D21">
            <w:pPr>
              <w:autoSpaceDE w:val="0"/>
              <w:autoSpaceDN w:val="0"/>
              <w:adjustRightInd w:val="0"/>
              <w:spacing w:after="0" w:line="240" w:lineRule="auto"/>
              <w:rPr>
                <w:rFonts w:cs="GillSansMT,BoldItalic"/>
                <w:bCs/>
                <w:iCs/>
                <w:color w:val="000000"/>
              </w:rPr>
            </w:pPr>
            <w:r w:rsidRPr="000D7AF4">
              <w:rPr>
                <w:rFonts w:cs="GillSansMT"/>
                <w:color w:val="000000"/>
              </w:rPr>
              <w:t>Prohibit an alcohol industry name from being associated with or displayed at the event.</w:t>
            </w:r>
          </w:p>
        </w:tc>
        <w:tc>
          <w:tcPr>
            <w:tcW w:w="3600"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bl>
    <w:p w:rsidR="00916E06" w:rsidRPr="00916E06" w:rsidRDefault="00916E06" w:rsidP="00916E06">
      <w:pPr>
        <w:pStyle w:val="Heading3"/>
        <w:rPr>
          <w:rFonts w:ascii="Calibri" w:hAnsi="Calibri"/>
        </w:rPr>
      </w:pPr>
      <w:r>
        <w:t>Preventing underage alcohol use</w:t>
      </w:r>
    </w:p>
    <w:tbl>
      <w:tblPr>
        <w:tblStyle w:val="TableStyle"/>
        <w:tblW w:w="10980" w:type="dxa"/>
        <w:tblInd w:w="-695" w:type="dxa"/>
        <w:tblLook w:val="04A0" w:firstRow="1" w:lastRow="0" w:firstColumn="1" w:lastColumn="0" w:noHBand="0" w:noVBand="1"/>
      </w:tblPr>
      <w:tblGrid>
        <w:gridCol w:w="3630"/>
        <w:gridCol w:w="3675"/>
        <w:gridCol w:w="3675"/>
      </w:tblGrid>
      <w:tr w:rsidR="002D2C23" w:rsidRPr="002D2C23" w:rsidTr="000D7A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30" w:type="dxa"/>
          </w:tcPr>
          <w:p w:rsidR="002D2C23" w:rsidRPr="002D2C23" w:rsidRDefault="002D2C23" w:rsidP="002D2C23">
            <w:pPr>
              <w:autoSpaceDE w:val="0"/>
              <w:autoSpaceDN w:val="0"/>
              <w:adjustRightInd w:val="0"/>
              <w:spacing w:after="0" w:line="240" w:lineRule="auto"/>
              <w:jc w:val="center"/>
              <w:rPr>
                <w:rFonts w:cs="GillSansMT,BoldItalic"/>
                <w:bCs/>
                <w:iCs/>
                <w:color w:val="000000"/>
              </w:rPr>
            </w:pPr>
            <w:r w:rsidRPr="002D2C23">
              <w:rPr>
                <w:rFonts w:cs="GillSansMT,BoldItalic"/>
                <w:bCs/>
                <w:iCs/>
                <w:color w:val="000000"/>
              </w:rPr>
              <w:t>Best practice</w:t>
            </w:r>
          </w:p>
        </w:tc>
        <w:tc>
          <w:tcPr>
            <w:tcW w:w="3675" w:type="dxa"/>
          </w:tcPr>
          <w:p w:rsidR="002D2C23" w:rsidRPr="002D2C23" w:rsidRDefault="002D2C23" w:rsidP="002D2C2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sidRPr="002D2C23">
              <w:rPr>
                <w:rFonts w:cs="GillSansMT,BoldItalic"/>
                <w:bCs/>
                <w:iCs/>
                <w:color w:val="000000"/>
              </w:rPr>
              <w:t>Observed strengths</w:t>
            </w:r>
          </w:p>
        </w:tc>
        <w:tc>
          <w:tcPr>
            <w:tcW w:w="3675" w:type="dxa"/>
          </w:tcPr>
          <w:p w:rsidR="002D2C23" w:rsidRPr="002D2C23" w:rsidRDefault="002D2C23" w:rsidP="002D2C2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sidRPr="002D2C23">
              <w:rPr>
                <w:rFonts w:cs="GillSansMT,BoldItalic"/>
                <w:bCs/>
                <w:iCs/>
                <w:color w:val="000000"/>
              </w:rPr>
              <w:t>Recommendations for improvement</w:t>
            </w:r>
          </w:p>
        </w:tc>
      </w:tr>
      <w:tr w:rsidR="001C2D21" w:rsidRPr="002D2C23" w:rsidTr="005C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dxa"/>
          </w:tcPr>
          <w:p w:rsidR="001C2D21" w:rsidRDefault="001C2D21" w:rsidP="001C2D21">
            <w:pPr>
              <w:autoSpaceDE w:val="0"/>
              <w:autoSpaceDN w:val="0"/>
              <w:adjustRightInd w:val="0"/>
              <w:spacing w:after="0" w:line="240" w:lineRule="auto"/>
              <w:rPr>
                <w:rFonts w:cs="GillSansMT,BoldItalic"/>
                <w:bCs/>
                <w:iCs/>
                <w:color w:val="000000"/>
              </w:rPr>
            </w:pPr>
            <w:r>
              <w:rPr>
                <w:rFonts w:cs="GillSansMT,BoldItalic"/>
                <w:b/>
                <w:bCs/>
                <w:iCs/>
                <w:color w:val="000000"/>
              </w:rPr>
              <w:t>Checking i</w:t>
            </w:r>
            <w:r w:rsidRPr="002D2C23">
              <w:rPr>
                <w:rFonts w:cs="GillSansMT,BoldItalic"/>
                <w:b/>
                <w:bCs/>
                <w:iCs/>
                <w:color w:val="000000"/>
              </w:rPr>
              <w:t xml:space="preserve">dentification </w:t>
            </w:r>
          </w:p>
          <w:p w:rsidR="001C2D21" w:rsidRPr="002D2C23" w:rsidRDefault="001C2D21" w:rsidP="001C2D21">
            <w:pPr>
              <w:autoSpaceDE w:val="0"/>
              <w:autoSpaceDN w:val="0"/>
              <w:adjustRightInd w:val="0"/>
              <w:spacing w:after="0" w:line="240" w:lineRule="auto"/>
              <w:rPr>
                <w:rFonts w:cs="GillSansMT,BoldItalic"/>
                <w:bCs/>
                <w:iCs/>
                <w:color w:val="000000"/>
              </w:rPr>
            </w:pPr>
            <w:r w:rsidRPr="002D2C23">
              <w:rPr>
                <w:rFonts w:cs="GillSansMT"/>
                <w:color w:val="000000"/>
              </w:rPr>
              <w:t>For every alcohol sale, check identification of all customers appearing to be under the age of 30.</w:t>
            </w:r>
          </w:p>
        </w:tc>
        <w:tc>
          <w:tcPr>
            <w:tcW w:w="3675"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75"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D704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dxa"/>
          </w:tcPr>
          <w:p w:rsidR="001C2D21" w:rsidRDefault="001C2D21" w:rsidP="001C2D21">
            <w:pPr>
              <w:autoSpaceDE w:val="0"/>
              <w:autoSpaceDN w:val="0"/>
              <w:adjustRightInd w:val="0"/>
              <w:spacing w:after="0" w:line="240" w:lineRule="auto"/>
              <w:rPr>
                <w:rFonts w:cs="GillSansMT"/>
                <w:color w:val="000000"/>
              </w:rPr>
            </w:pPr>
            <w:r w:rsidRPr="002D2C23">
              <w:rPr>
                <w:rFonts w:cs="GillSansMT,BoldItalic"/>
                <w:b/>
                <w:bCs/>
                <w:iCs/>
                <w:color w:val="000000"/>
              </w:rPr>
              <w:lastRenderedPageBreak/>
              <w:t>Enclos</w:t>
            </w:r>
            <w:r>
              <w:rPr>
                <w:rFonts w:cs="GillSansMT,BoldItalic"/>
                <w:b/>
                <w:bCs/>
                <w:iCs/>
                <w:color w:val="000000"/>
              </w:rPr>
              <w:t>ing an a</w:t>
            </w:r>
            <w:r w:rsidRPr="002D2C23">
              <w:rPr>
                <w:rFonts w:cs="GillSansMT,BoldItalic"/>
                <w:b/>
                <w:bCs/>
                <w:iCs/>
                <w:color w:val="000000"/>
              </w:rPr>
              <w:t>rea</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Restrict alcohol sales to a designated location where underage youth are not allowed.</w:t>
            </w:r>
            <w:r>
              <w:rPr>
                <w:rFonts w:cs="GillSansMT"/>
                <w:color w:val="000000"/>
              </w:rPr>
              <w:t xml:space="preserve">  Areas should be clearly defined and there should be barriers to underage individuals accessing them (such as physical barriers, ID checkers, and/or security).</w:t>
            </w:r>
          </w:p>
        </w:tc>
        <w:tc>
          <w:tcPr>
            <w:tcW w:w="3675"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75"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EF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dxa"/>
          </w:tcPr>
          <w:p w:rsidR="001C2D21" w:rsidRDefault="001C2D21" w:rsidP="001C2D21">
            <w:pPr>
              <w:autoSpaceDE w:val="0"/>
              <w:autoSpaceDN w:val="0"/>
              <w:adjustRightInd w:val="0"/>
              <w:spacing w:after="0" w:line="240" w:lineRule="auto"/>
              <w:rPr>
                <w:rFonts w:cs="GillSansMT"/>
                <w:color w:val="000000"/>
              </w:rPr>
            </w:pPr>
            <w:r w:rsidRPr="002D2C23">
              <w:rPr>
                <w:rFonts w:cs="GillSansMT,BoldItalic"/>
                <w:b/>
                <w:bCs/>
                <w:iCs/>
                <w:color w:val="000000"/>
              </w:rPr>
              <w:t>Us</w:t>
            </w:r>
            <w:r>
              <w:rPr>
                <w:rFonts w:cs="GillSansMT,BoldItalic"/>
                <w:b/>
                <w:bCs/>
                <w:iCs/>
                <w:color w:val="000000"/>
              </w:rPr>
              <w:t>ing</w:t>
            </w:r>
            <w:r w:rsidRPr="002D2C23">
              <w:rPr>
                <w:rFonts w:cs="GillSansMT,BoldItalic"/>
                <w:b/>
                <w:bCs/>
                <w:iCs/>
                <w:color w:val="000000"/>
              </w:rPr>
              <w:t xml:space="preserve"> </w:t>
            </w:r>
            <w:r>
              <w:rPr>
                <w:rFonts w:cs="GillSansMT,BoldItalic"/>
                <w:b/>
                <w:bCs/>
                <w:iCs/>
                <w:color w:val="000000"/>
              </w:rPr>
              <w:t>w</w:t>
            </w:r>
            <w:r w:rsidRPr="002D2C23">
              <w:rPr>
                <w:rFonts w:cs="GillSansMT,BoldItalic"/>
                <w:b/>
                <w:bCs/>
                <w:iCs/>
                <w:color w:val="000000"/>
              </w:rPr>
              <w:t>ristbands</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Use wristbands to identify people who are 21 and older.</w:t>
            </w:r>
            <w:r>
              <w:rPr>
                <w:rFonts w:cs="GillSansMT"/>
                <w:color w:val="000000"/>
              </w:rPr>
              <w:t xml:space="preserve">  Wristbands should be applied by event staff and should be tight enough to prevent transferring them to others. </w:t>
            </w:r>
          </w:p>
        </w:tc>
        <w:tc>
          <w:tcPr>
            <w:tcW w:w="3675"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75"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1A42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dxa"/>
          </w:tcPr>
          <w:p w:rsidR="001C2D21" w:rsidRDefault="001C2D21" w:rsidP="001C2D21">
            <w:pPr>
              <w:autoSpaceDE w:val="0"/>
              <w:autoSpaceDN w:val="0"/>
              <w:adjustRightInd w:val="0"/>
              <w:spacing w:after="0" w:line="240" w:lineRule="auto"/>
              <w:rPr>
                <w:rFonts w:cs="GillSansMT"/>
                <w:color w:val="000000"/>
              </w:rPr>
            </w:pPr>
            <w:r>
              <w:rPr>
                <w:rFonts w:cs="GillSansMT,BoldItalic"/>
                <w:b/>
                <w:bCs/>
                <w:iCs/>
                <w:color w:val="000000"/>
              </w:rPr>
              <w:t>Limiting servings</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Limit the number of servings per person per purchase to one (</w:t>
            </w:r>
            <w:r>
              <w:rPr>
                <w:rFonts w:cs="GillSansMT"/>
                <w:color w:val="000000"/>
              </w:rPr>
              <w:t xml:space="preserve">such as </w:t>
            </w:r>
            <w:r w:rsidRPr="002D2C23">
              <w:rPr>
                <w:rFonts w:cs="GillSansMT"/>
                <w:color w:val="000000"/>
              </w:rPr>
              <w:t>one beer</w:t>
            </w:r>
            <w:r>
              <w:rPr>
                <w:rFonts w:cs="GillSansMT"/>
                <w:color w:val="000000"/>
              </w:rPr>
              <w:t xml:space="preserve"> per ID</w:t>
            </w:r>
            <w:r w:rsidRPr="002D2C23">
              <w:rPr>
                <w:rFonts w:cs="GillSansMT"/>
                <w:color w:val="000000"/>
              </w:rPr>
              <w:t>).</w:t>
            </w:r>
          </w:p>
        </w:tc>
        <w:tc>
          <w:tcPr>
            <w:tcW w:w="3675"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75"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1A4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dxa"/>
          </w:tcPr>
          <w:p w:rsidR="001C2D21" w:rsidRDefault="001C2D21" w:rsidP="001C2D21">
            <w:pPr>
              <w:autoSpaceDE w:val="0"/>
              <w:autoSpaceDN w:val="0"/>
              <w:adjustRightInd w:val="0"/>
              <w:spacing w:after="0" w:line="240" w:lineRule="auto"/>
              <w:rPr>
                <w:rFonts w:cs="GillSansMT"/>
                <w:color w:val="000000"/>
              </w:rPr>
            </w:pPr>
            <w:r w:rsidRPr="002D2C23">
              <w:rPr>
                <w:rFonts w:cs="GillSansMT,BoldItalic"/>
                <w:b/>
                <w:bCs/>
                <w:iCs/>
                <w:color w:val="000000"/>
              </w:rPr>
              <w:t>Us</w:t>
            </w:r>
            <w:r>
              <w:rPr>
                <w:rFonts w:cs="GillSansMT,BoldItalic"/>
                <w:b/>
                <w:bCs/>
                <w:iCs/>
                <w:color w:val="000000"/>
              </w:rPr>
              <w:t>ing</w:t>
            </w:r>
            <w:r w:rsidRPr="002D2C23">
              <w:rPr>
                <w:rFonts w:cs="GillSansMT,BoldItalic"/>
                <w:b/>
                <w:bCs/>
                <w:iCs/>
                <w:color w:val="000000"/>
              </w:rPr>
              <w:t xml:space="preserve"> </w:t>
            </w:r>
            <w:r>
              <w:rPr>
                <w:rFonts w:cs="GillSansMT,BoldItalic"/>
                <w:b/>
                <w:bCs/>
                <w:iCs/>
                <w:color w:val="000000"/>
              </w:rPr>
              <w:t>d</w:t>
            </w:r>
            <w:r w:rsidRPr="002D2C23">
              <w:rPr>
                <w:rFonts w:cs="GillSansMT,BoldItalic"/>
                <w:b/>
                <w:bCs/>
                <w:iCs/>
                <w:color w:val="000000"/>
              </w:rPr>
              <w:t xml:space="preserve">istinguishable </w:t>
            </w:r>
            <w:r>
              <w:rPr>
                <w:rFonts w:cs="GillSansMT,BoldItalic"/>
                <w:b/>
                <w:bCs/>
                <w:iCs/>
                <w:color w:val="000000"/>
              </w:rPr>
              <w:t>c</w:t>
            </w:r>
            <w:r w:rsidRPr="002D2C23">
              <w:rPr>
                <w:rFonts w:cs="GillSansMT,BoldItalic"/>
                <w:b/>
                <w:bCs/>
                <w:iCs/>
                <w:color w:val="000000"/>
              </w:rPr>
              <w:t>ups</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Use cups for alcoholic beverages that are easily distinguishable from non-alcoholic beverage cups.</w:t>
            </w:r>
          </w:p>
        </w:tc>
        <w:tc>
          <w:tcPr>
            <w:tcW w:w="3675"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75"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bl>
    <w:p w:rsidR="00916E06" w:rsidRPr="00916E06" w:rsidRDefault="00916E06" w:rsidP="00916E06">
      <w:pPr>
        <w:pStyle w:val="Heading3"/>
      </w:pPr>
      <w:r w:rsidRPr="00916E06">
        <w:t xml:space="preserve">Preventing </w:t>
      </w:r>
      <w:r>
        <w:t>i</w:t>
      </w:r>
      <w:r w:rsidRPr="00916E06">
        <w:t>ntoxication</w:t>
      </w:r>
    </w:p>
    <w:tbl>
      <w:tblPr>
        <w:tblStyle w:val="TableStyle"/>
        <w:tblW w:w="10980" w:type="dxa"/>
        <w:tblInd w:w="-695" w:type="dxa"/>
        <w:tblLook w:val="04A0" w:firstRow="1" w:lastRow="0" w:firstColumn="1" w:lastColumn="0" w:noHBand="0" w:noVBand="1"/>
      </w:tblPr>
      <w:tblGrid>
        <w:gridCol w:w="3714"/>
        <w:gridCol w:w="3576"/>
        <w:gridCol w:w="3690"/>
      </w:tblGrid>
      <w:tr w:rsidR="002D2C23" w:rsidRPr="002D2C23" w:rsidTr="000D7A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4" w:type="dxa"/>
          </w:tcPr>
          <w:p w:rsidR="002D2C23" w:rsidRPr="002D2C23" w:rsidRDefault="002D2C23" w:rsidP="00352819">
            <w:pPr>
              <w:autoSpaceDE w:val="0"/>
              <w:autoSpaceDN w:val="0"/>
              <w:adjustRightInd w:val="0"/>
              <w:spacing w:after="0" w:line="240" w:lineRule="auto"/>
              <w:jc w:val="center"/>
              <w:rPr>
                <w:rFonts w:cs="GillSansMT,BoldItalic"/>
                <w:bCs/>
                <w:iCs/>
                <w:color w:val="000000"/>
              </w:rPr>
            </w:pPr>
            <w:r w:rsidRPr="002D2C23">
              <w:rPr>
                <w:rFonts w:cs="GillSansMT,BoldItalic"/>
                <w:bCs/>
                <w:iCs/>
                <w:color w:val="000000"/>
              </w:rPr>
              <w:t>Best practice</w:t>
            </w:r>
          </w:p>
        </w:tc>
        <w:tc>
          <w:tcPr>
            <w:tcW w:w="3576" w:type="dxa"/>
          </w:tcPr>
          <w:p w:rsidR="002D2C23" w:rsidRPr="002D2C23" w:rsidRDefault="002D2C23" w:rsidP="003528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sidRPr="002D2C23">
              <w:rPr>
                <w:rFonts w:cs="GillSansMT,BoldItalic"/>
                <w:bCs/>
                <w:iCs/>
                <w:color w:val="000000"/>
              </w:rPr>
              <w:t>Observed strengths</w:t>
            </w:r>
          </w:p>
        </w:tc>
        <w:tc>
          <w:tcPr>
            <w:tcW w:w="3690" w:type="dxa"/>
          </w:tcPr>
          <w:p w:rsidR="002D2C23" w:rsidRPr="002D2C23" w:rsidRDefault="002D2C23" w:rsidP="003528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sidRPr="002D2C23">
              <w:rPr>
                <w:rFonts w:cs="GillSansMT,BoldItalic"/>
                <w:bCs/>
                <w:iCs/>
                <w:color w:val="000000"/>
              </w:rPr>
              <w:t>Recommendations for improvement</w:t>
            </w:r>
          </w:p>
        </w:tc>
      </w:tr>
      <w:tr w:rsidR="001C2D21" w:rsidRPr="002D2C23" w:rsidTr="00993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4" w:type="dxa"/>
          </w:tcPr>
          <w:p w:rsidR="001C2D21" w:rsidRDefault="001C2D21" w:rsidP="001C2D21">
            <w:pPr>
              <w:autoSpaceDE w:val="0"/>
              <w:autoSpaceDN w:val="0"/>
              <w:adjustRightInd w:val="0"/>
              <w:spacing w:after="0" w:line="240" w:lineRule="auto"/>
              <w:rPr>
                <w:rFonts w:cs="GillSansMT"/>
                <w:color w:val="000000"/>
              </w:rPr>
            </w:pPr>
            <w:r>
              <w:rPr>
                <w:rFonts w:cs="GillSansMT,BoldItalic"/>
                <w:b/>
                <w:bCs/>
                <w:iCs/>
                <w:color w:val="000000"/>
              </w:rPr>
              <w:t>Refusing s</w:t>
            </w:r>
            <w:r w:rsidRPr="002D2C23">
              <w:rPr>
                <w:rFonts w:cs="GillSansMT,BoldItalic"/>
                <w:b/>
                <w:bCs/>
                <w:iCs/>
                <w:color w:val="000000"/>
              </w:rPr>
              <w:t xml:space="preserve">ales to </w:t>
            </w:r>
            <w:r>
              <w:rPr>
                <w:rFonts w:cs="GillSansMT,BoldItalic"/>
                <w:b/>
                <w:bCs/>
                <w:iCs/>
                <w:color w:val="000000"/>
              </w:rPr>
              <w:t>o</w:t>
            </w:r>
            <w:r w:rsidRPr="002D2C23">
              <w:rPr>
                <w:rFonts w:cs="GillSansMT,BoldItalic"/>
                <w:b/>
                <w:bCs/>
                <w:iCs/>
                <w:color w:val="000000"/>
              </w:rPr>
              <w:t xml:space="preserve">bviously </w:t>
            </w:r>
            <w:r>
              <w:rPr>
                <w:rFonts w:cs="GillSansMT,BoldItalic"/>
                <w:b/>
                <w:bCs/>
                <w:iCs/>
                <w:color w:val="000000"/>
              </w:rPr>
              <w:t>i</w:t>
            </w:r>
            <w:r w:rsidRPr="002D2C23">
              <w:rPr>
                <w:rFonts w:cs="GillSansMT,BoldItalic"/>
                <w:b/>
                <w:bCs/>
                <w:iCs/>
                <w:color w:val="000000"/>
              </w:rPr>
              <w:t xml:space="preserve">ntoxicated </w:t>
            </w:r>
            <w:r>
              <w:rPr>
                <w:rFonts w:cs="GillSansMT,BoldItalic"/>
                <w:b/>
                <w:bCs/>
                <w:iCs/>
                <w:color w:val="000000"/>
              </w:rPr>
              <w:t>c</w:t>
            </w:r>
            <w:r w:rsidRPr="002D2C23">
              <w:rPr>
                <w:rFonts w:cs="GillSansMT,BoldItalic"/>
                <w:b/>
                <w:bCs/>
                <w:iCs/>
                <w:color w:val="000000"/>
              </w:rPr>
              <w:t>ustomers</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Absolutely no alcohol sales to anyone appearing obviously intoxicated.</w:t>
            </w:r>
            <w:r>
              <w:rPr>
                <w:rFonts w:cs="GillSansMT"/>
                <w:color w:val="000000"/>
              </w:rPr>
              <w:t xml:space="preserve"> Responsible Beverage Server Training can provide useful guidance on identifying and refusing sales to intoxicated customers.  </w:t>
            </w:r>
          </w:p>
        </w:tc>
        <w:tc>
          <w:tcPr>
            <w:tcW w:w="3576"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9936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4" w:type="dxa"/>
          </w:tcPr>
          <w:p w:rsidR="001C2D21" w:rsidRDefault="001C2D21" w:rsidP="001C2D21">
            <w:pPr>
              <w:autoSpaceDE w:val="0"/>
              <w:autoSpaceDN w:val="0"/>
              <w:adjustRightInd w:val="0"/>
              <w:spacing w:after="0" w:line="240" w:lineRule="auto"/>
              <w:rPr>
                <w:rFonts w:cs="GillSansMT"/>
                <w:color w:val="000000"/>
              </w:rPr>
            </w:pPr>
            <w:r w:rsidRPr="002D2C23">
              <w:rPr>
                <w:rFonts w:cs="GillSansMT,BoldItalic"/>
                <w:b/>
                <w:bCs/>
                <w:iCs/>
                <w:color w:val="000000"/>
              </w:rPr>
              <w:t>Limit</w:t>
            </w:r>
            <w:r>
              <w:rPr>
                <w:rFonts w:cs="GillSansMT,BoldItalic"/>
                <w:b/>
                <w:bCs/>
                <w:iCs/>
                <w:color w:val="000000"/>
              </w:rPr>
              <w:t>ing c</w:t>
            </w:r>
            <w:r w:rsidRPr="002D2C23">
              <w:rPr>
                <w:rFonts w:cs="GillSansMT,BoldItalic"/>
                <w:b/>
                <w:bCs/>
                <w:iCs/>
                <w:color w:val="000000"/>
              </w:rPr>
              <w:t xml:space="preserve">up </w:t>
            </w:r>
            <w:r>
              <w:rPr>
                <w:rFonts w:cs="GillSansMT,BoldItalic"/>
                <w:b/>
                <w:bCs/>
                <w:iCs/>
                <w:color w:val="000000"/>
              </w:rPr>
              <w:t>s</w:t>
            </w:r>
            <w:r w:rsidRPr="002D2C23">
              <w:rPr>
                <w:rFonts w:cs="GillSansMT,BoldItalic"/>
                <w:b/>
                <w:bCs/>
                <w:iCs/>
                <w:color w:val="000000"/>
              </w:rPr>
              <w:t>ize</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Limit cup size to 12 ounces for beer and wine coolers and 5 oz. for wine.</w:t>
            </w:r>
          </w:p>
        </w:tc>
        <w:tc>
          <w:tcPr>
            <w:tcW w:w="3576"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14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4" w:type="dxa"/>
          </w:tcPr>
          <w:p w:rsidR="001C2D21" w:rsidRDefault="001C2D21" w:rsidP="001C2D21">
            <w:pPr>
              <w:autoSpaceDE w:val="0"/>
              <w:autoSpaceDN w:val="0"/>
              <w:adjustRightInd w:val="0"/>
              <w:spacing w:after="0" w:line="240" w:lineRule="auto"/>
              <w:rPr>
                <w:rFonts w:cs="GillSansMT"/>
                <w:color w:val="000000"/>
              </w:rPr>
            </w:pPr>
            <w:r w:rsidRPr="002D2C23">
              <w:rPr>
                <w:rFonts w:cs="GillSansMT,BoldItalic"/>
                <w:b/>
                <w:bCs/>
                <w:iCs/>
                <w:color w:val="000000"/>
              </w:rPr>
              <w:lastRenderedPageBreak/>
              <w:t>Offer</w:t>
            </w:r>
            <w:r>
              <w:rPr>
                <w:rFonts w:cs="GillSansMT,BoldItalic"/>
                <w:b/>
                <w:bCs/>
                <w:iCs/>
                <w:color w:val="000000"/>
              </w:rPr>
              <w:t>ing</w:t>
            </w:r>
            <w:r w:rsidRPr="002D2C23">
              <w:rPr>
                <w:rFonts w:cs="GillSansMT,BoldItalic"/>
                <w:b/>
                <w:bCs/>
                <w:iCs/>
                <w:color w:val="000000"/>
              </w:rPr>
              <w:t xml:space="preserve"> </w:t>
            </w:r>
            <w:r>
              <w:rPr>
                <w:rFonts w:cs="GillSansMT,BoldItalic"/>
                <w:b/>
                <w:bCs/>
                <w:iCs/>
                <w:color w:val="000000"/>
              </w:rPr>
              <w:t>f</w:t>
            </w:r>
            <w:r w:rsidRPr="002D2C23">
              <w:rPr>
                <w:rFonts w:cs="GillSansMT,BoldItalic"/>
                <w:b/>
                <w:bCs/>
                <w:iCs/>
                <w:color w:val="000000"/>
              </w:rPr>
              <w:t xml:space="preserve">ood and </w:t>
            </w:r>
            <w:r>
              <w:rPr>
                <w:rFonts w:cs="GillSansMT,BoldItalic"/>
                <w:b/>
                <w:bCs/>
                <w:iCs/>
                <w:color w:val="000000"/>
              </w:rPr>
              <w:t>n</w:t>
            </w:r>
            <w:r w:rsidRPr="002D2C23">
              <w:rPr>
                <w:rFonts w:cs="GillSansMT,BoldItalic"/>
                <w:b/>
                <w:bCs/>
                <w:iCs/>
                <w:color w:val="000000"/>
              </w:rPr>
              <w:t xml:space="preserve">on-alcoholic </w:t>
            </w:r>
            <w:r>
              <w:rPr>
                <w:rFonts w:cs="GillSansMT,BoldItalic"/>
                <w:b/>
                <w:bCs/>
                <w:iCs/>
                <w:color w:val="000000"/>
              </w:rPr>
              <w:t>b</w:t>
            </w:r>
            <w:r w:rsidRPr="002D2C23">
              <w:rPr>
                <w:rFonts w:cs="GillSansMT,BoldItalic"/>
                <w:b/>
                <w:bCs/>
                <w:iCs/>
                <w:color w:val="000000"/>
              </w:rPr>
              <w:t>everages</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sidRPr="002D2C23">
              <w:rPr>
                <w:rFonts w:cs="GillSansMT"/>
                <w:color w:val="000000"/>
              </w:rPr>
              <w:t>Offer food and non-alcoholic beverages, including non-alcoholic beer.</w:t>
            </w:r>
            <w:r>
              <w:rPr>
                <w:rFonts w:cs="GillSansMT"/>
                <w:color w:val="000000"/>
              </w:rPr>
              <w:t xml:space="preserve">  Food and non-alcoholic beverages should also be available in restricted alcohol areas, if applicable.  </w:t>
            </w:r>
          </w:p>
        </w:tc>
        <w:tc>
          <w:tcPr>
            <w:tcW w:w="3576"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1C2D21" w:rsidRPr="002D2C23" w:rsidTr="00145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4" w:type="dxa"/>
          </w:tcPr>
          <w:p w:rsidR="001C2D21" w:rsidRDefault="001C2D21" w:rsidP="001C2D21">
            <w:pPr>
              <w:autoSpaceDE w:val="0"/>
              <w:autoSpaceDN w:val="0"/>
              <w:adjustRightInd w:val="0"/>
              <w:spacing w:after="0" w:line="240" w:lineRule="auto"/>
              <w:rPr>
                <w:rFonts w:cs="GillSansMT"/>
                <w:color w:val="000000"/>
              </w:rPr>
            </w:pPr>
            <w:r>
              <w:rPr>
                <w:rFonts w:cs="GillSansMT,BoldItalic"/>
                <w:b/>
                <w:bCs/>
                <w:iCs/>
                <w:color w:val="000000"/>
              </w:rPr>
              <w:t>Preventing p</w:t>
            </w:r>
            <w:r w:rsidRPr="002D2C23">
              <w:rPr>
                <w:rFonts w:cs="GillSansMT,BoldItalic"/>
                <w:b/>
                <w:bCs/>
                <w:iCs/>
                <w:color w:val="000000"/>
              </w:rPr>
              <w:t xml:space="preserve">rice </w:t>
            </w:r>
            <w:r>
              <w:rPr>
                <w:rFonts w:cs="GillSansMT,BoldItalic"/>
                <w:b/>
                <w:bCs/>
                <w:iCs/>
                <w:color w:val="000000"/>
              </w:rPr>
              <w:t>d</w:t>
            </w:r>
            <w:r w:rsidRPr="002D2C23">
              <w:rPr>
                <w:rFonts w:cs="GillSansMT,BoldItalic"/>
                <w:b/>
                <w:bCs/>
                <w:iCs/>
                <w:color w:val="000000"/>
              </w:rPr>
              <w:t xml:space="preserve">iscounting on </w:t>
            </w:r>
            <w:r>
              <w:rPr>
                <w:rFonts w:cs="GillSansMT,BoldItalic"/>
                <w:b/>
                <w:bCs/>
                <w:iCs/>
                <w:color w:val="000000"/>
              </w:rPr>
              <w:t>a</w:t>
            </w:r>
            <w:r w:rsidRPr="002D2C23">
              <w:rPr>
                <w:rFonts w:cs="GillSansMT,BoldItalic"/>
                <w:b/>
                <w:bCs/>
                <w:iCs/>
                <w:color w:val="000000"/>
              </w:rPr>
              <w:t>lcohol</w:t>
            </w:r>
            <w:r w:rsidRPr="002D2C23">
              <w:rPr>
                <w:rFonts w:cs="GillSansMT"/>
                <w:color w:val="000000"/>
              </w:rPr>
              <w:t xml:space="preserve"> </w:t>
            </w:r>
          </w:p>
          <w:p w:rsidR="001C2D21" w:rsidRPr="002D2C23" w:rsidRDefault="001C2D21" w:rsidP="001C2D21">
            <w:pPr>
              <w:autoSpaceDE w:val="0"/>
              <w:autoSpaceDN w:val="0"/>
              <w:adjustRightInd w:val="0"/>
              <w:spacing w:after="0" w:line="240" w:lineRule="auto"/>
              <w:rPr>
                <w:rFonts w:cs="GillSansMT,BoldItalic"/>
                <w:b/>
                <w:bCs/>
                <w:iCs/>
                <w:color w:val="000000"/>
              </w:rPr>
            </w:pPr>
            <w:r>
              <w:rPr>
                <w:rFonts w:cs="GillSansMT"/>
                <w:color w:val="000000"/>
              </w:rPr>
              <w:t xml:space="preserve">There should not be price incentives for alcoholic beverages, including two-for-ones, happy hours, or sales.  In addition, non-alcoholic beverages should be less expensive to purchase than alcoholic beverages. </w:t>
            </w:r>
          </w:p>
        </w:tc>
        <w:tc>
          <w:tcPr>
            <w:tcW w:w="3576"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3"/>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690" w:type="dxa"/>
            <w:vAlign w:val="center"/>
          </w:tcPr>
          <w:p w:rsidR="001C2D21" w:rsidRPr="000D7AF4" w:rsidRDefault="001C2D21" w:rsidP="001C2D21">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4"/>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bl>
    <w:p w:rsidR="00AA62FB" w:rsidRPr="003D569B" w:rsidRDefault="00AA62FB" w:rsidP="001C2D21">
      <w:pPr>
        <w:pStyle w:val="Heading2"/>
        <w:spacing w:after="0"/>
        <w:rPr>
          <w:rFonts w:ascii="Times New Roman" w:hAnsi="Times New Roman"/>
        </w:rPr>
      </w:pPr>
      <w:r w:rsidRPr="003D569B">
        <w:rPr>
          <w:rFonts w:ascii="Times New Roman" w:hAnsi="Times New Roman"/>
        </w:rPr>
        <w:t>Comments</w:t>
      </w:r>
    </w:p>
    <w:p w:rsidR="00577B2E" w:rsidRDefault="001C2D21" w:rsidP="001C2D21">
      <w:pPr>
        <w:pStyle w:val="Heading2"/>
        <w:spacing w:before="0" w:after="0"/>
        <w:rPr>
          <w:b w:val="0"/>
          <w:i w:val="0"/>
          <w:sz w:val="22"/>
        </w:rPr>
      </w:pPr>
      <w:r>
        <w:rPr>
          <w:b w:val="0"/>
          <w:i w:val="0"/>
          <w:sz w:val="22"/>
        </w:rPr>
        <w:fldChar w:fldCharType="begin">
          <w:ffData>
            <w:name w:val="Text5"/>
            <w:enabled/>
            <w:calcOnExit w:val="0"/>
            <w:textInput/>
          </w:ffData>
        </w:fldChar>
      </w:r>
      <w:bookmarkStart w:id="5" w:name="Text5"/>
      <w:r>
        <w:rPr>
          <w:b w:val="0"/>
          <w:i w:val="0"/>
          <w:sz w:val="22"/>
        </w:rPr>
        <w:instrText xml:space="preserve"> FORMTEXT </w:instrText>
      </w:r>
      <w:r>
        <w:rPr>
          <w:b w:val="0"/>
          <w:i w:val="0"/>
          <w:sz w:val="22"/>
        </w:rPr>
      </w:r>
      <w:r>
        <w:rPr>
          <w:b w:val="0"/>
          <w:i w:val="0"/>
          <w:sz w:val="22"/>
        </w:rPr>
        <w:fldChar w:fldCharType="separate"/>
      </w:r>
      <w:r>
        <w:rPr>
          <w:b w:val="0"/>
          <w:i w:val="0"/>
          <w:noProof/>
          <w:sz w:val="22"/>
        </w:rPr>
        <w:t> </w:t>
      </w:r>
      <w:r>
        <w:rPr>
          <w:b w:val="0"/>
          <w:i w:val="0"/>
          <w:noProof/>
          <w:sz w:val="22"/>
        </w:rPr>
        <w:t> </w:t>
      </w:r>
      <w:r>
        <w:rPr>
          <w:b w:val="0"/>
          <w:i w:val="0"/>
          <w:noProof/>
          <w:sz w:val="22"/>
        </w:rPr>
        <w:t> </w:t>
      </w:r>
      <w:r>
        <w:rPr>
          <w:b w:val="0"/>
          <w:i w:val="0"/>
          <w:noProof/>
          <w:sz w:val="22"/>
        </w:rPr>
        <w:t> </w:t>
      </w:r>
      <w:r>
        <w:rPr>
          <w:b w:val="0"/>
          <w:i w:val="0"/>
          <w:noProof/>
          <w:sz w:val="22"/>
        </w:rPr>
        <w:t> </w:t>
      </w:r>
      <w:r>
        <w:rPr>
          <w:b w:val="0"/>
          <w:i w:val="0"/>
          <w:sz w:val="22"/>
        </w:rPr>
        <w:fldChar w:fldCharType="end"/>
      </w:r>
      <w:bookmarkEnd w:id="5"/>
    </w:p>
    <w:p w:rsidR="00AA62FB" w:rsidRDefault="00AA62FB" w:rsidP="00AA62FB">
      <w:pPr>
        <w:pStyle w:val="BodyText"/>
      </w:pPr>
    </w:p>
    <w:p w:rsidR="00AA62FB" w:rsidRPr="00AA62FB" w:rsidRDefault="00AA62FB" w:rsidP="00AA62FB">
      <w:pPr>
        <w:pStyle w:val="BodyText"/>
      </w:pPr>
    </w:p>
    <w:p w:rsidR="00916E06" w:rsidRPr="00916E06" w:rsidRDefault="00916E06" w:rsidP="00916E06">
      <w:pPr>
        <w:pStyle w:val="Heading2"/>
        <w:spacing w:after="0"/>
        <w:rPr>
          <w:b w:val="0"/>
          <w:i w:val="0"/>
          <w:sz w:val="22"/>
        </w:rPr>
      </w:pPr>
      <w:r w:rsidRPr="00916E06">
        <w:rPr>
          <w:b w:val="0"/>
          <w:i w:val="0"/>
          <w:sz w:val="22"/>
        </w:rPr>
        <w:t>Best practices were from Toomey, T.L.</w:t>
      </w:r>
      <w:r>
        <w:rPr>
          <w:b w:val="0"/>
          <w:i w:val="0"/>
          <w:sz w:val="22"/>
        </w:rPr>
        <w:t xml:space="preserve"> (</w:t>
      </w:r>
      <w:proofErr w:type="spellStart"/>
      <w:r>
        <w:rPr>
          <w:b w:val="0"/>
          <w:i w:val="0"/>
          <w:sz w:val="22"/>
        </w:rPr>
        <w:t>n.d.</w:t>
      </w:r>
      <w:proofErr w:type="spellEnd"/>
      <w:r>
        <w:rPr>
          <w:b w:val="0"/>
          <w:i w:val="0"/>
          <w:sz w:val="22"/>
        </w:rPr>
        <w:t>).</w:t>
      </w:r>
      <w:r w:rsidRPr="00916E06">
        <w:rPr>
          <w:b w:val="0"/>
          <w:i w:val="0"/>
          <w:sz w:val="22"/>
        </w:rPr>
        <w:t xml:space="preserve"> </w:t>
      </w:r>
      <w:r w:rsidRPr="00916E06">
        <w:rPr>
          <w:b w:val="0"/>
          <w:sz w:val="22"/>
        </w:rPr>
        <w:t>Sample model policies: Community events</w:t>
      </w:r>
      <w:r w:rsidRPr="00916E06">
        <w:rPr>
          <w:b w:val="0"/>
          <w:i w:val="0"/>
          <w:sz w:val="22"/>
        </w:rPr>
        <w:t xml:space="preserve">. Retrieved from </w:t>
      </w:r>
      <w:hyperlink r:id="rId9" w:history="1">
        <w:r w:rsidRPr="00916E06">
          <w:rPr>
            <w:rStyle w:val="Hyperlink"/>
            <w:b w:val="0"/>
            <w:i w:val="0"/>
            <w:sz w:val="22"/>
          </w:rPr>
          <w:t>http://www.epi.umn.edu/alcohol/sample/pdfs/policies_short.pdf</w:t>
        </w:r>
      </w:hyperlink>
      <w:r w:rsidRPr="00916E06">
        <w:rPr>
          <w:b w:val="0"/>
          <w:i w:val="0"/>
          <w:sz w:val="22"/>
        </w:rPr>
        <w:t xml:space="preserve"> </w:t>
      </w:r>
    </w:p>
    <w:sectPr w:rsidR="00916E06" w:rsidRPr="00916E06" w:rsidSect="002D2C23">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06" w:rsidRDefault="00916E06">
      <w:r>
        <w:separator/>
      </w:r>
    </w:p>
  </w:endnote>
  <w:endnote w:type="continuationSeparator" w:id="0">
    <w:p w:rsidR="00916E06" w:rsidRDefault="0091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F9" w:rsidRPr="002B4892" w:rsidRDefault="00BE3DF9">
    <w:pPr>
      <w:framePr w:w="586" w:wrap="around" w:vAnchor="text" w:hAnchor="page" w:x="5844" w:y="151"/>
      <w:jc w:val="center"/>
      <w:rPr>
        <w:rStyle w:val="PageNumber"/>
      </w:rPr>
    </w:pPr>
    <w:r w:rsidRPr="002B4892">
      <w:rPr>
        <w:rStyle w:val="PageNumber"/>
      </w:rPr>
      <w:fldChar w:fldCharType="begin"/>
    </w:r>
    <w:r w:rsidRPr="002B4892">
      <w:rPr>
        <w:rStyle w:val="PageNumber"/>
      </w:rPr>
      <w:instrText xml:space="preserve">PAGE  </w:instrText>
    </w:r>
    <w:r w:rsidRPr="002B4892">
      <w:rPr>
        <w:rStyle w:val="PageNumber"/>
      </w:rPr>
      <w:fldChar w:fldCharType="separate"/>
    </w:r>
    <w:r w:rsidR="001C2D21">
      <w:rPr>
        <w:rStyle w:val="PageNumber"/>
        <w:noProof/>
      </w:rPr>
      <w:t>1</w:t>
    </w:r>
    <w:r w:rsidRPr="002B4892">
      <w:rPr>
        <w:rStyle w:val="PageNumber"/>
      </w:rPr>
      <w:fldChar w:fldCharType="end"/>
    </w:r>
  </w:p>
  <w:p w:rsidR="00BE3DF9" w:rsidRDefault="00BE3DF9" w:rsidP="002D2C23">
    <w:pPr>
      <w:pBdr>
        <w:top w:val="single" w:sz="12" w:space="8" w:color="auto"/>
      </w:pBdr>
      <w:tabs>
        <w:tab w:val="right" w:pos="2160"/>
        <w:tab w:val="left" w:pos="6750"/>
      </w:tabs>
      <w:rPr>
        <w:i/>
        <w:sz w:val="18"/>
      </w:rPr>
    </w:pPr>
    <w:r>
      <w:rPr>
        <w:b/>
        <w:sz w:val="18"/>
      </w:rPr>
      <w:tab/>
    </w:r>
    <w:r w:rsidR="002D2C23">
      <w:rPr>
        <w:b/>
        <w:i/>
        <w:sz w:val="18"/>
      </w:rPr>
      <w:t>Community event synthesis: Single event</w:t>
    </w:r>
    <w:r>
      <w:rPr>
        <w:sz w:val="18"/>
      </w:rPr>
      <w:tab/>
    </w:r>
    <w:r>
      <w:rPr>
        <w:i/>
        <w:sz w:val="18"/>
      </w:rPr>
      <w:t xml:space="preserve">Wilder Research, </w:t>
    </w:r>
    <w:r w:rsidR="002D2C23">
      <w:rPr>
        <w:i/>
        <w:sz w:val="18"/>
      </w:rPr>
      <w:t>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06" w:rsidRDefault="00916E06">
      <w:r>
        <w:separator/>
      </w:r>
    </w:p>
  </w:footnote>
  <w:footnote w:type="continuationSeparator" w:id="0">
    <w:p w:rsidR="00916E06" w:rsidRDefault="0091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89"/>
    <w:multiLevelType w:val="singleLevel"/>
    <w:tmpl w:val="A7BC65E0"/>
    <w:lvl w:ilvl="0">
      <w:start w:val="1"/>
      <w:numFmt w:val="bullet"/>
      <w:pStyle w:val="Bullet"/>
      <w:lvlText w:val=""/>
      <w:lvlJc w:val="left"/>
      <w:pPr>
        <w:tabs>
          <w:tab w:val="num" w:pos="360"/>
        </w:tabs>
        <w:ind w:left="360" w:hanging="360"/>
      </w:pPr>
      <w:rPr>
        <w:rFonts w:ascii="Wingdings" w:hAnsi="Wingdings" w:hint="default"/>
        <w:sz w:val="24"/>
      </w:rPr>
    </w:lvl>
  </w:abstractNum>
  <w:abstractNum w:abstractNumId="1">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e21ip6BF3BaIfWFs0R1Qs6rE4U8=" w:salt="/1pvFygepcbatRE8rfB/n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E06"/>
    <w:rsid w:val="00011D2F"/>
    <w:rsid w:val="00021A90"/>
    <w:rsid w:val="00027F2D"/>
    <w:rsid w:val="00052AF0"/>
    <w:rsid w:val="00061556"/>
    <w:rsid w:val="00076306"/>
    <w:rsid w:val="0007678E"/>
    <w:rsid w:val="000A697B"/>
    <w:rsid w:val="000B7A9F"/>
    <w:rsid w:val="000C1945"/>
    <w:rsid w:val="000D7AF4"/>
    <w:rsid w:val="000F3531"/>
    <w:rsid w:val="001150ED"/>
    <w:rsid w:val="00120DDA"/>
    <w:rsid w:val="00127CC2"/>
    <w:rsid w:val="001771DC"/>
    <w:rsid w:val="00181131"/>
    <w:rsid w:val="001C2D21"/>
    <w:rsid w:val="001C608F"/>
    <w:rsid w:val="002422CE"/>
    <w:rsid w:val="00255802"/>
    <w:rsid w:val="002608F8"/>
    <w:rsid w:val="00263155"/>
    <w:rsid w:val="00282674"/>
    <w:rsid w:val="002919F8"/>
    <w:rsid w:val="002B0128"/>
    <w:rsid w:val="002B4892"/>
    <w:rsid w:val="002C40D7"/>
    <w:rsid w:val="002D2C23"/>
    <w:rsid w:val="002D4B92"/>
    <w:rsid w:val="002E20EE"/>
    <w:rsid w:val="00310C83"/>
    <w:rsid w:val="00342D6C"/>
    <w:rsid w:val="00346812"/>
    <w:rsid w:val="0036333F"/>
    <w:rsid w:val="00367729"/>
    <w:rsid w:val="003C2F90"/>
    <w:rsid w:val="003D569B"/>
    <w:rsid w:val="00414CF4"/>
    <w:rsid w:val="00453153"/>
    <w:rsid w:val="00482498"/>
    <w:rsid w:val="00484164"/>
    <w:rsid w:val="00491148"/>
    <w:rsid w:val="00496DB2"/>
    <w:rsid w:val="004A6686"/>
    <w:rsid w:val="004A7B11"/>
    <w:rsid w:val="004B1736"/>
    <w:rsid w:val="004E134F"/>
    <w:rsid w:val="004E59DE"/>
    <w:rsid w:val="00501574"/>
    <w:rsid w:val="0051638E"/>
    <w:rsid w:val="0053000F"/>
    <w:rsid w:val="00537AFA"/>
    <w:rsid w:val="0054279E"/>
    <w:rsid w:val="005461AE"/>
    <w:rsid w:val="00563941"/>
    <w:rsid w:val="00577B2E"/>
    <w:rsid w:val="005A120C"/>
    <w:rsid w:val="005E69D7"/>
    <w:rsid w:val="00603665"/>
    <w:rsid w:val="00652696"/>
    <w:rsid w:val="00664684"/>
    <w:rsid w:val="006713D9"/>
    <w:rsid w:val="00674400"/>
    <w:rsid w:val="006C5F5C"/>
    <w:rsid w:val="00761963"/>
    <w:rsid w:val="007729D3"/>
    <w:rsid w:val="00774214"/>
    <w:rsid w:val="00774D52"/>
    <w:rsid w:val="00791F10"/>
    <w:rsid w:val="007A2D16"/>
    <w:rsid w:val="007B33DE"/>
    <w:rsid w:val="00804108"/>
    <w:rsid w:val="00807CAD"/>
    <w:rsid w:val="00867F38"/>
    <w:rsid w:val="008C4D5A"/>
    <w:rsid w:val="008E06BE"/>
    <w:rsid w:val="00902109"/>
    <w:rsid w:val="00916E06"/>
    <w:rsid w:val="009309A0"/>
    <w:rsid w:val="00943250"/>
    <w:rsid w:val="00965762"/>
    <w:rsid w:val="00980B20"/>
    <w:rsid w:val="009968A6"/>
    <w:rsid w:val="00A31E3B"/>
    <w:rsid w:val="00A669FA"/>
    <w:rsid w:val="00AA4FAC"/>
    <w:rsid w:val="00AA62FB"/>
    <w:rsid w:val="00AC2C91"/>
    <w:rsid w:val="00B3021F"/>
    <w:rsid w:val="00B352EC"/>
    <w:rsid w:val="00B472AC"/>
    <w:rsid w:val="00B54BFF"/>
    <w:rsid w:val="00B643E1"/>
    <w:rsid w:val="00BA076B"/>
    <w:rsid w:val="00BD2652"/>
    <w:rsid w:val="00BE3DF9"/>
    <w:rsid w:val="00BF729E"/>
    <w:rsid w:val="00C554A4"/>
    <w:rsid w:val="00C655E0"/>
    <w:rsid w:val="00C7443C"/>
    <w:rsid w:val="00C8701B"/>
    <w:rsid w:val="00C9469F"/>
    <w:rsid w:val="00C97135"/>
    <w:rsid w:val="00D30246"/>
    <w:rsid w:val="00DE211A"/>
    <w:rsid w:val="00E02910"/>
    <w:rsid w:val="00E0600B"/>
    <w:rsid w:val="00E30FA8"/>
    <w:rsid w:val="00E5456B"/>
    <w:rsid w:val="00E71E6E"/>
    <w:rsid w:val="00E751B7"/>
    <w:rsid w:val="00E82A90"/>
    <w:rsid w:val="00EA2C9E"/>
    <w:rsid w:val="00EF2BA7"/>
    <w:rsid w:val="00F47B55"/>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E06"/>
    <w:pPr>
      <w:spacing w:after="200" w:line="276" w:lineRule="auto"/>
    </w:pPr>
    <w:rPr>
      <w:rFonts w:ascii="Calibri" w:eastAsia="Calibri" w:hAnsi="Calibri"/>
      <w:sz w:val="22"/>
      <w:szCs w:val="22"/>
    </w:rPr>
  </w:style>
  <w:style w:type="paragraph" w:styleId="Heading1">
    <w:name w:val="heading 1"/>
    <w:basedOn w:val="Normal"/>
    <w:next w:val="BodyText"/>
    <w:qFormat/>
    <w:rsid w:val="00021A90"/>
    <w:pPr>
      <w:keepNext/>
      <w:spacing w:after="240"/>
      <w:outlineLvl w:val="0"/>
    </w:pPr>
    <w:rPr>
      <w:rFonts w:ascii="Arial Narrow" w:hAnsi="Arial Narrow"/>
      <w:b/>
      <w:spacing w:val="-4"/>
      <w:kern w:val="28"/>
      <w:sz w:val="48"/>
      <w:szCs w:val="44"/>
    </w:rPr>
  </w:style>
  <w:style w:type="paragraph" w:styleId="Heading2">
    <w:name w:val="heading 2"/>
    <w:basedOn w:val="Normal"/>
    <w:next w:val="BodyText"/>
    <w:link w:val="Heading2Char"/>
    <w:uiPriority w:val="9"/>
    <w:qFormat/>
    <w:pPr>
      <w:keepNext/>
      <w:spacing w:before="240" w:after="120"/>
      <w:outlineLvl w:val="1"/>
    </w:pPr>
    <w:rPr>
      <w:b/>
      <w:i/>
      <w:sz w:val="32"/>
    </w:rPr>
  </w:style>
  <w:style w:type="paragraph" w:styleId="Heading3">
    <w:name w:val="heading 3"/>
    <w:basedOn w:val="Normal"/>
    <w:next w:val="BodyText"/>
    <w:qFormat/>
    <w:rsid w:val="00310C83"/>
    <w:pPr>
      <w:keepNext/>
      <w:spacing w:before="240"/>
      <w:outlineLvl w:val="2"/>
    </w:pPr>
    <w:rPr>
      <w:rFonts w:ascii="Arial Black" w:hAnsi="Arial Black"/>
    </w:rPr>
  </w:style>
  <w:style w:type="paragraph" w:styleId="Heading4">
    <w:name w:val="heading 4"/>
    <w:basedOn w:val="Normal"/>
    <w:next w:val="BodyText"/>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line="320" w:lineRule="atLeast"/>
    </w:pPr>
  </w:style>
  <w:style w:type="paragraph" w:customStyle="1" w:styleId="ReportTitle">
    <w:name w:val="Report Title"/>
    <w:basedOn w:val="Normal"/>
    <w:next w:val="Reportsubtitle"/>
    <w:rsid w:val="008E06BE"/>
    <w:pPr>
      <w:spacing w:after="600"/>
      <w:ind w:right="-1800"/>
    </w:pPr>
    <w:rPr>
      <w:rFonts w:ascii="Arial Narrow" w:hAnsi="Arial Narrow"/>
      <w:b/>
      <w:sz w:val="68"/>
      <w:szCs w:val="64"/>
    </w:rPr>
  </w:style>
  <w:style w:type="paragraph" w:customStyle="1" w:styleId="Reportsubtitle">
    <w:name w:val="Report sub title"/>
    <w:basedOn w:val="Normal"/>
    <w:rsid w:val="008E06BE"/>
    <w:pPr>
      <w:spacing w:after="1200"/>
      <w:ind w:right="-1800"/>
    </w:pPr>
    <w:rPr>
      <w:b/>
      <w:i/>
      <w:sz w:val="36"/>
    </w:rPr>
  </w:style>
  <w:style w:type="paragraph" w:customStyle="1" w:styleId="Bullet">
    <w:name w:val="Bullet"/>
    <w:basedOn w:val="BodyText"/>
    <w:pPr>
      <w:numPr>
        <w:numId w:val="1"/>
      </w:numPr>
    </w:pPr>
  </w:style>
  <w:style w:type="paragraph" w:customStyle="1" w:styleId="Reportdate">
    <w:name w:val="Report date"/>
    <w:basedOn w:val="Reportsubtitle"/>
    <w:rsid w:val="00B352EC"/>
    <w:rPr>
      <w:rFonts w:ascii="Arial Black" w:hAnsi="Arial Black"/>
      <w:b w:val="0"/>
      <w:i w:val="0"/>
      <w:caps/>
      <w:spacing w:val="100"/>
      <w:sz w:val="18"/>
    </w:rPr>
  </w:style>
  <w:style w:type="paragraph" w:styleId="Header">
    <w:name w:val="header"/>
    <w:basedOn w:val="Normal"/>
    <w:pPr>
      <w:tabs>
        <w:tab w:val="center" w:pos="4320"/>
        <w:tab w:val="right" w:pos="8640"/>
      </w:tabs>
    </w:pPr>
  </w:style>
  <w:style w:type="paragraph" w:customStyle="1" w:styleId="Titlepagetitle">
    <w:name w:val="Title page title"/>
    <w:basedOn w:val="Normal"/>
    <w:next w:val="Normal"/>
    <w:rsid w:val="00021A90"/>
    <w:pPr>
      <w:spacing w:after="240"/>
    </w:pPr>
    <w:rPr>
      <w:rFonts w:ascii="Arial Narrow" w:hAnsi="Arial Narrow"/>
      <w:b/>
      <w:sz w:val="56"/>
    </w:rPr>
  </w:style>
  <w:style w:type="character" w:styleId="PageNumber">
    <w:name w:val="page number"/>
    <w:rsid w:val="002D4B92"/>
    <w:rPr>
      <w:rFonts w:ascii="Arial Narrow" w:hAnsi="Arial Narrow"/>
      <w:b/>
      <w:dstrike w:val="0"/>
      <w:color w:val="auto"/>
      <w:sz w:val="22"/>
      <w:vertAlign w:val="baseline"/>
    </w:rPr>
  </w:style>
  <w:style w:type="paragraph" w:customStyle="1" w:styleId="BlockQuotation">
    <w:name w:val="Block Quotation"/>
    <w:basedOn w:val="BodyText"/>
    <w:next w:val="BodyText"/>
    <w:pPr>
      <w:keepLines/>
      <w:pBdr>
        <w:left w:val="single" w:sz="36" w:space="5" w:color="808080"/>
        <w:bottom w:val="single" w:sz="48" w:space="3" w:color="FFFFFF"/>
      </w:pBdr>
      <w:spacing w:line="240" w:lineRule="auto"/>
      <w:ind w:left="720" w:right="720"/>
    </w:p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rsid w:val="00310C83"/>
    <w:pPr>
      <w:keepLines/>
      <w:spacing w:after="0" w:line="240" w:lineRule="auto"/>
    </w:pPr>
    <w:rPr>
      <w:rFonts w:ascii="Arial" w:hAnsi="Arial"/>
      <w:sz w:val="20"/>
    </w:rPr>
  </w:style>
  <w:style w:type="paragraph" w:customStyle="1" w:styleId="FigureTitle">
    <w:name w:val="Figure Title"/>
    <w:basedOn w:val="Normal"/>
    <w:next w:val="TableText"/>
    <w:rsid w:val="005A120C"/>
    <w:pPr>
      <w:pBdr>
        <w:top w:val="single" w:sz="4" w:space="3" w:color="auto"/>
      </w:pBdr>
      <w:tabs>
        <w:tab w:val="left" w:pos="533"/>
      </w:tabs>
      <w:spacing w:before="240" w:after="120"/>
      <w:ind w:left="533" w:hanging="533"/>
    </w:pPr>
    <w:rPr>
      <w:rFonts w:ascii="Arial" w:hAnsi="Arial"/>
      <w:b/>
      <w:spacing w:val="4"/>
      <w:kern w:val="24"/>
      <w:szCs w:val="24"/>
    </w:rPr>
  </w:style>
  <w:style w:type="table" w:customStyle="1" w:styleId="2013">
    <w:name w:val="2013"/>
    <w:basedOn w:val="TableNormal"/>
    <w:uiPriority w:val="99"/>
    <w:rsid w:val="000F3531"/>
    <w:rPr>
      <w:rFonts w:ascii="Arial" w:hAnsi="Arial"/>
    </w:rPr>
    <w:tblPr>
      <w:tblInd w:w="0" w:type="dxa"/>
      <w:tblBorders>
        <w:bottom w:val="single" w:sz="4" w:space="0" w:color="FAD2A4"/>
        <w:insideH w:val="single" w:sz="4" w:space="0" w:color="FAD2A4"/>
      </w:tblBorders>
      <w:tblCellMar>
        <w:top w:w="0" w:type="dxa"/>
        <w:left w:w="108" w:type="dxa"/>
        <w:bottom w:w="0" w:type="dxa"/>
        <w:right w:w="108" w:type="dxa"/>
      </w:tblCellMar>
    </w:tblPr>
    <w:tcPr>
      <w:vAlign w:val="bottom"/>
    </w:tcPr>
    <w:tblStylePr w:type="firstRow">
      <w:rPr>
        <w:b/>
      </w:rPr>
      <w:tblPr/>
      <w:tcPr>
        <w:tcBorders>
          <w:bottom w:val="single" w:sz="4" w:space="0" w:color="F3901D"/>
        </w:tcBorders>
      </w:tcPr>
    </w:tblStylePr>
  </w:style>
  <w:style w:type="paragraph" w:styleId="TOC1">
    <w:name w:val="toc 1"/>
    <w:basedOn w:val="Normal"/>
    <w:next w:val="Normal"/>
    <w:autoRedefine/>
    <w:semiHidden/>
    <w:pPr>
      <w:tabs>
        <w:tab w:val="right" w:leader="dot" w:pos="8630"/>
      </w:tabs>
      <w:spacing w:before="240"/>
    </w:pPr>
    <w:rPr>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table" w:customStyle="1" w:styleId="TableStyle">
    <w:name w:val="Table Style"/>
    <w:basedOn w:val="TableNormal"/>
    <w:rsid w:val="001771DC"/>
    <w:pPr>
      <w:spacing w:before="120"/>
    </w:pPr>
    <w:rPr>
      <w:rFonts w:ascii="Arial" w:hAnsi="Arial"/>
    </w:rPr>
    <w:tblPr>
      <w:tblStyleRowBandSize w:val="1"/>
      <w:tblStyleColBandSize w:val="1"/>
      <w:tblInd w:w="0" w:type="dxa"/>
      <w:tblCellMar>
        <w:top w:w="0" w:type="dxa"/>
        <w:left w:w="115" w:type="dxa"/>
        <w:bottom w:w="0"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774D52"/>
    <w:pPr>
      <w:tabs>
        <w:tab w:val="left" w:pos="907"/>
      </w:tabs>
      <w:spacing w:after="0" w:line="280" w:lineRule="atLeast"/>
    </w:pPr>
    <w:rPr>
      <w:rFonts w:ascii="Arial Narrow" w:hAnsi="Arial Narrow"/>
      <w:i/>
      <w:spacing w:val="-4"/>
      <w:sz w:val="20"/>
    </w:rPr>
  </w:style>
  <w:style w:type="table" w:customStyle="1" w:styleId="Style3">
    <w:name w:val="Style3"/>
    <w:basedOn w:val="TableNormal"/>
    <w:uiPriority w:val="99"/>
    <w:rsid w:val="0053000F"/>
    <w:rPr>
      <w:rFonts w:ascii="Arial" w:hAnsi="Arial"/>
    </w:rPr>
    <w:tblPr>
      <w:tblInd w:w="0" w:type="dxa"/>
      <w:tblBorders>
        <w:bottom w:val="single" w:sz="4" w:space="0" w:color="FAD2A4"/>
        <w:insideH w:val="single" w:sz="4" w:space="0" w:color="FAD2A4"/>
      </w:tblBorders>
      <w:tblCellMar>
        <w:top w:w="0" w:type="dxa"/>
        <w:left w:w="108" w:type="dxa"/>
        <w:bottom w:w="0" w:type="dxa"/>
        <w:right w:w="108" w:type="dxa"/>
      </w:tblCellMar>
    </w:tblPr>
    <w:tcPr>
      <w:vAlign w:val="bottom"/>
    </w:tcPr>
    <w:tblStylePr w:type="firstRow">
      <w:rPr>
        <w:b/>
      </w:rPr>
      <w:tblPr/>
      <w:tcPr>
        <w:tcBorders>
          <w:bottom w:val="single" w:sz="4" w:space="0" w:color="F3901D"/>
        </w:tcBorders>
      </w:tcPr>
    </w:tblStylePr>
  </w:style>
  <w:style w:type="table" w:customStyle="1" w:styleId="Style2013">
    <w:name w:val="Style 2013"/>
    <w:basedOn w:val="TableNormal"/>
    <w:uiPriority w:val="99"/>
    <w:rsid w:val="0053000F"/>
    <w:rPr>
      <w:rFonts w:ascii="Arial" w:hAnsi="Arial"/>
    </w:rPr>
    <w:tblPr>
      <w:tblInd w:w="0" w:type="dxa"/>
      <w:tblBorders>
        <w:bottom w:val="single" w:sz="4" w:space="0" w:color="FAD2A4"/>
        <w:insideH w:val="single" w:sz="4" w:space="0" w:color="FAD2A4"/>
      </w:tblBorders>
      <w:tblCellMar>
        <w:top w:w="0" w:type="dxa"/>
        <w:left w:w="108" w:type="dxa"/>
        <w:bottom w:w="0" w:type="dxa"/>
        <w:right w:w="108" w:type="dxa"/>
      </w:tblCellMar>
    </w:tblPr>
    <w:tcPr>
      <w:vAlign w:val="bottom"/>
    </w:tcPr>
    <w:tblStylePr w:type="firstRow">
      <w:rPr>
        <w:b/>
      </w:rPr>
      <w:tblPr/>
      <w:tcPr>
        <w:tcBorders>
          <w:bottom w:val="single" w:sz="4" w:space="0" w:color="F3901D"/>
        </w:tcBorders>
      </w:tcPr>
    </w:tblStylePr>
  </w:style>
  <w:style w:type="character" w:customStyle="1" w:styleId="Heading2Char">
    <w:name w:val="Heading 2 Char"/>
    <w:link w:val="Heading2"/>
    <w:uiPriority w:val="9"/>
    <w:rsid w:val="00916E06"/>
    <w:rPr>
      <w:b/>
      <w:i/>
      <w:sz w:val="32"/>
    </w:rPr>
  </w:style>
  <w:style w:type="paragraph" w:styleId="NoSpacing">
    <w:name w:val="No Spacing"/>
    <w:uiPriority w:val="1"/>
    <w:qFormat/>
    <w:rsid w:val="00916E06"/>
    <w:rPr>
      <w:rFonts w:ascii="Calibri" w:eastAsia="Calibri" w:hAnsi="Calibri"/>
      <w:sz w:val="22"/>
      <w:szCs w:val="22"/>
    </w:rPr>
  </w:style>
  <w:style w:type="paragraph" w:customStyle="1" w:styleId="Default">
    <w:name w:val="Default"/>
    <w:rsid w:val="00916E06"/>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916E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16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umn.edu/alcohol/festivals/index.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umn.edu/alcohol/sample/pdfs/policies_sh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pre%202013\Exter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 report</Template>
  <TotalTime>1</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Heading 1:  18 point</vt:lpstr>
    </vt:vector>
  </TitlesOfParts>
  <Company>WILDER FOUNDATION</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18 point</dc:title>
  <dc:creator>Kristin A. Dillon</dc:creator>
  <cp:lastModifiedBy>Kristin A. Dillon</cp:lastModifiedBy>
  <cp:revision>3</cp:revision>
  <cp:lastPrinted>2005-07-25T19:44:00Z</cp:lastPrinted>
  <dcterms:created xsi:type="dcterms:W3CDTF">2013-07-01T20:43:00Z</dcterms:created>
  <dcterms:modified xsi:type="dcterms:W3CDTF">2013-07-01T20:51:00Z</dcterms:modified>
</cp:coreProperties>
</file>