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DC" w:rsidRDefault="00C02AFC" w:rsidP="00C02AFC">
      <w:pPr>
        <w:jc w:val="center"/>
        <w:rPr>
          <w:sz w:val="28"/>
          <w:szCs w:val="28"/>
        </w:rPr>
      </w:pPr>
      <w:r w:rsidRPr="00F933B4">
        <w:rPr>
          <w:sz w:val="28"/>
          <w:szCs w:val="28"/>
        </w:rPr>
        <w:t xml:space="preserve">Strategy Selection </w:t>
      </w:r>
      <w:r>
        <w:rPr>
          <w:sz w:val="28"/>
          <w:szCs w:val="28"/>
        </w:rPr>
        <w:t>Table</w:t>
      </w:r>
    </w:p>
    <w:p w:rsidR="00C02AFC" w:rsidRDefault="00C02AFC" w:rsidP="00C02AFC">
      <w:r>
        <w:t xml:space="preserve">Complete this table by detailing </w:t>
      </w:r>
      <w:r w:rsidRPr="00C02AFC">
        <w:rPr>
          <w:u w:val="single"/>
        </w:rPr>
        <w:t xml:space="preserve">all </w:t>
      </w:r>
      <w:r>
        <w:t>strategies being considered</w:t>
      </w:r>
      <w:r w:rsidR="00BF0632">
        <w:t>. You may be considering multiple local conditions under each intervening variable category; add and delete rows as needed.</w:t>
      </w:r>
      <w:r>
        <w:t xml:space="preserve"> From your Strategy Selection Worksheets, use the average conceptual fit </w:t>
      </w:r>
      <w:r w:rsidR="00BF0632">
        <w:t>and</w:t>
      </w:r>
      <w:r>
        <w:t xml:space="preserve"> practical fit score</w:t>
      </w:r>
      <w:r w:rsidR="00BF0632">
        <w:t>s</w:t>
      </w:r>
      <w:r>
        <w:t xml:space="preserve">, and evidence-based </w:t>
      </w:r>
      <w:r w:rsidR="00BF0632">
        <w:t>definition</w:t>
      </w:r>
      <w:r>
        <w:t>. When comparing strategies for each local condition, consider both the total score as well as the following guiding questions:</w:t>
      </w:r>
    </w:p>
    <w:p w:rsidR="00C02AFC" w:rsidRDefault="00C02AFC" w:rsidP="00C02AFC">
      <w:pPr>
        <w:pStyle w:val="ListParagraph"/>
        <w:numPr>
          <w:ilvl w:val="0"/>
          <w:numId w:val="1"/>
        </w:numPr>
      </w:pPr>
      <w:r>
        <w:t>To what extent do you have the right mix of strategies to fully engage interested stakeholders?</w:t>
      </w:r>
    </w:p>
    <w:p w:rsidR="00C02AFC" w:rsidRDefault="00C02AFC" w:rsidP="00C02AFC">
      <w:pPr>
        <w:pStyle w:val="ListParagraph"/>
        <w:numPr>
          <w:ilvl w:val="0"/>
          <w:numId w:val="1"/>
        </w:numPr>
      </w:pPr>
      <w:r>
        <w:t>To what extent do you have the right mix of strategies to effectively intervene with your population of focus?</w:t>
      </w:r>
    </w:p>
    <w:p w:rsidR="00C02AFC" w:rsidRDefault="00C02AFC" w:rsidP="00C02AFC">
      <w:pPr>
        <w:pStyle w:val="ListParagraph"/>
        <w:numPr>
          <w:ilvl w:val="0"/>
          <w:numId w:val="1"/>
        </w:numPr>
      </w:pPr>
      <w:r>
        <w:t>To what extent do you have the right mix of strategies to provide a comprehensive approach to your "highest priority" problems?</w:t>
      </w:r>
    </w:p>
    <w:p w:rsidR="00C02AFC" w:rsidRDefault="00C02AFC" w:rsidP="00C02AFC">
      <w:pPr>
        <w:pStyle w:val="ListParagraph"/>
        <w:numPr>
          <w:ilvl w:val="0"/>
          <w:numId w:val="1"/>
        </w:numPr>
      </w:pPr>
      <w:r>
        <w:t>Including existing prevention efforts, will you have at least three strategies for each priority substance abuse problem being addressed?</w:t>
      </w:r>
    </w:p>
    <w:p w:rsidR="00C02AFC" w:rsidRDefault="00C02AFC" w:rsidP="00C02AFC">
      <w:r>
        <w:t>Grantee/coalition: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2"/>
        <w:gridCol w:w="1415"/>
        <w:gridCol w:w="2011"/>
        <w:gridCol w:w="2432"/>
        <w:gridCol w:w="1257"/>
        <w:gridCol w:w="1262"/>
        <w:gridCol w:w="1528"/>
        <w:gridCol w:w="1639"/>
      </w:tblGrid>
      <w:tr w:rsidR="00BF0632" w:rsidTr="00BF0632">
        <w:tc>
          <w:tcPr>
            <w:tcW w:w="619" w:type="pct"/>
          </w:tcPr>
          <w:p w:rsidR="00C02AFC" w:rsidRDefault="00C02AFC" w:rsidP="00C02AFC">
            <w:r>
              <w:t>A. Intervening Variable</w:t>
            </w:r>
          </w:p>
        </w:tc>
        <w:tc>
          <w:tcPr>
            <w:tcW w:w="537" w:type="pct"/>
          </w:tcPr>
          <w:p w:rsidR="00C02AFC" w:rsidRDefault="00C02AFC" w:rsidP="00C02AFC">
            <w:r>
              <w:t>B. Substance</w:t>
            </w:r>
          </w:p>
        </w:tc>
        <w:tc>
          <w:tcPr>
            <w:tcW w:w="763" w:type="pct"/>
          </w:tcPr>
          <w:p w:rsidR="00C02AFC" w:rsidRDefault="00C02AFC" w:rsidP="00C02AFC">
            <w:r>
              <w:t>C. Prioritized Local Condition</w:t>
            </w:r>
          </w:p>
        </w:tc>
        <w:tc>
          <w:tcPr>
            <w:tcW w:w="923" w:type="pct"/>
          </w:tcPr>
          <w:p w:rsidR="00C02AFC" w:rsidRDefault="00C02AFC" w:rsidP="00C02AFC">
            <w:r>
              <w:t>D. Strategy</w:t>
            </w:r>
          </w:p>
        </w:tc>
        <w:tc>
          <w:tcPr>
            <w:tcW w:w="477" w:type="pct"/>
            <w:shd w:val="clear" w:color="auto" w:fill="FFFF99"/>
          </w:tcPr>
          <w:p w:rsidR="00C02AFC" w:rsidRDefault="00C02AFC" w:rsidP="00C02AFC">
            <w:r>
              <w:t>E. Average Conceptual Fit Score</w:t>
            </w:r>
          </w:p>
        </w:tc>
        <w:tc>
          <w:tcPr>
            <w:tcW w:w="479" w:type="pct"/>
            <w:shd w:val="clear" w:color="auto" w:fill="B8CCE4" w:themeFill="accent1" w:themeFillTint="66"/>
          </w:tcPr>
          <w:p w:rsidR="00C02AFC" w:rsidRDefault="00C02AFC" w:rsidP="00C02AFC">
            <w:r>
              <w:t>F. Average Practical Fit Score</w:t>
            </w:r>
          </w:p>
        </w:tc>
        <w:tc>
          <w:tcPr>
            <w:tcW w:w="580" w:type="pct"/>
            <w:shd w:val="clear" w:color="auto" w:fill="C2D69B" w:themeFill="accent3" w:themeFillTint="99"/>
          </w:tcPr>
          <w:p w:rsidR="00C02AFC" w:rsidRDefault="00C02AFC" w:rsidP="00BF0632">
            <w:r>
              <w:t xml:space="preserve">G. </w:t>
            </w:r>
            <w:r w:rsidR="00BF0632">
              <w:t>Total Score (sum columns E and F)</w:t>
            </w:r>
          </w:p>
        </w:tc>
        <w:tc>
          <w:tcPr>
            <w:tcW w:w="622" w:type="pct"/>
            <w:shd w:val="clear" w:color="auto" w:fill="FFC000"/>
          </w:tcPr>
          <w:p w:rsidR="00C02AFC" w:rsidRDefault="00BF0632" w:rsidP="006839D3">
            <w:r>
              <w:t>H. Evidence of Effectiveness (Definition 1-5)</w:t>
            </w:r>
          </w:p>
        </w:tc>
      </w:tr>
      <w:tr w:rsidR="00BF0632" w:rsidTr="00BF0632">
        <w:tc>
          <w:tcPr>
            <w:tcW w:w="619" w:type="pct"/>
            <w:vMerge w:val="restart"/>
          </w:tcPr>
          <w:p w:rsidR="006839D3" w:rsidRDefault="006839D3" w:rsidP="00C02AFC">
            <w:r>
              <w:t>Access/</w:t>
            </w:r>
          </w:p>
          <w:p w:rsidR="006839D3" w:rsidRDefault="006839D3" w:rsidP="00C02AFC">
            <w:r>
              <w:t>Availability</w:t>
            </w:r>
          </w:p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 w:val="restart"/>
          </w:tcPr>
          <w:p w:rsidR="006839D3" w:rsidRDefault="006839D3" w:rsidP="00C02AFC">
            <w:r>
              <w:t>Perceived Enforcement</w:t>
            </w:r>
          </w:p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>
            <w:bookmarkStart w:id="0" w:name="_GoBack"/>
            <w:bookmarkEnd w:id="0"/>
          </w:p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 w:val="restart"/>
          </w:tcPr>
          <w:p w:rsidR="006839D3" w:rsidRDefault="006839D3" w:rsidP="00C02AFC">
            <w:r>
              <w:t>Pricing and Promotion</w:t>
            </w:r>
          </w:p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 w:val="restart"/>
          </w:tcPr>
          <w:p w:rsidR="006839D3" w:rsidRDefault="006839D3" w:rsidP="00C02AFC">
            <w:r>
              <w:t>Community Norms</w:t>
            </w:r>
          </w:p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 w:val="restart"/>
          </w:tcPr>
          <w:p w:rsidR="006839D3" w:rsidRDefault="006839D3" w:rsidP="00C02AFC">
            <w:r>
              <w:t>Individual Factors</w:t>
            </w:r>
          </w:p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  <w:tr w:rsidR="00BF0632" w:rsidTr="00BF0632">
        <w:tc>
          <w:tcPr>
            <w:tcW w:w="619" w:type="pct"/>
            <w:vMerge/>
          </w:tcPr>
          <w:p w:rsidR="006839D3" w:rsidRDefault="006839D3" w:rsidP="00C02AFC"/>
        </w:tc>
        <w:tc>
          <w:tcPr>
            <w:tcW w:w="537" w:type="pct"/>
          </w:tcPr>
          <w:p w:rsidR="006839D3" w:rsidRDefault="006839D3" w:rsidP="00C02AFC"/>
        </w:tc>
        <w:tc>
          <w:tcPr>
            <w:tcW w:w="763" w:type="pct"/>
          </w:tcPr>
          <w:p w:rsidR="006839D3" w:rsidRDefault="006839D3" w:rsidP="00C02AFC"/>
        </w:tc>
        <w:tc>
          <w:tcPr>
            <w:tcW w:w="923" w:type="pct"/>
          </w:tcPr>
          <w:p w:rsidR="006839D3" w:rsidRDefault="006839D3" w:rsidP="00C02AFC"/>
        </w:tc>
        <w:tc>
          <w:tcPr>
            <w:tcW w:w="477" w:type="pct"/>
            <w:shd w:val="clear" w:color="auto" w:fill="FFFF99"/>
          </w:tcPr>
          <w:p w:rsidR="006839D3" w:rsidRDefault="006839D3" w:rsidP="00C02AFC"/>
        </w:tc>
        <w:tc>
          <w:tcPr>
            <w:tcW w:w="479" w:type="pct"/>
            <w:shd w:val="clear" w:color="auto" w:fill="B8CCE4" w:themeFill="accent1" w:themeFillTint="66"/>
          </w:tcPr>
          <w:p w:rsidR="006839D3" w:rsidRDefault="006839D3" w:rsidP="00C02AFC"/>
        </w:tc>
        <w:tc>
          <w:tcPr>
            <w:tcW w:w="580" w:type="pct"/>
            <w:shd w:val="clear" w:color="auto" w:fill="C2D69B" w:themeFill="accent3" w:themeFillTint="99"/>
          </w:tcPr>
          <w:p w:rsidR="006839D3" w:rsidRDefault="006839D3" w:rsidP="00C02AFC"/>
        </w:tc>
        <w:tc>
          <w:tcPr>
            <w:tcW w:w="622" w:type="pct"/>
            <w:shd w:val="clear" w:color="auto" w:fill="FFC000"/>
          </w:tcPr>
          <w:p w:rsidR="006839D3" w:rsidRDefault="006839D3" w:rsidP="00C02AFC"/>
        </w:tc>
      </w:tr>
    </w:tbl>
    <w:p w:rsidR="00C02AFC" w:rsidRDefault="00C02AFC" w:rsidP="00C02AFC"/>
    <w:sectPr w:rsidR="00C02AFC" w:rsidSect="00C02A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410"/>
    <w:multiLevelType w:val="hybridMultilevel"/>
    <w:tmpl w:val="FD847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AFC"/>
    <w:rsid w:val="005E3ADC"/>
    <w:rsid w:val="006839D3"/>
    <w:rsid w:val="00851ADE"/>
    <w:rsid w:val="00BA383F"/>
    <w:rsid w:val="00BF0632"/>
    <w:rsid w:val="00C02AFC"/>
    <w:rsid w:val="00E2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FC"/>
    <w:pPr>
      <w:ind w:left="720"/>
      <w:contextualSpacing/>
    </w:pPr>
  </w:style>
  <w:style w:type="table" w:styleId="TableGrid">
    <w:name w:val="Table Grid"/>
    <w:basedOn w:val="TableNormal"/>
    <w:uiPriority w:val="59"/>
    <w:rsid w:val="00C02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 A. Dillon</cp:lastModifiedBy>
  <cp:revision>2</cp:revision>
  <dcterms:created xsi:type="dcterms:W3CDTF">2015-10-28T14:11:00Z</dcterms:created>
  <dcterms:modified xsi:type="dcterms:W3CDTF">2015-10-28T14:11:00Z</dcterms:modified>
</cp:coreProperties>
</file>